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2"/>
        <w:keepNext w:val="0"/>
        <w:keepLines w:val="0"/>
        <w:pageBreakBefore w:val="0"/>
        <w:widowControl w:val="0"/>
        <w:kinsoku/>
        <w:wordWrap/>
        <w:overflowPunct/>
        <w:topLinePunct w:val="0"/>
        <w:autoSpaceDE/>
        <w:autoSpaceDN/>
        <w:bidi w:val="0"/>
        <w:adjustRightInd/>
        <w:snapToGrid/>
        <w:spacing w:before="0" w:after="0"/>
        <w:textAlignment w:val="auto"/>
        <w:rPr>
          <w:rFonts w:ascii="Times New Roman" w:hAnsi="Times New Roman" w:eastAsia="宋体" w:cs="Times New Roman"/>
          <w:color w:val="auto"/>
        </w:rPr>
      </w:pPr>
      <w:bookmarkStart w:id="0" w:name="_Toc28001"/>
      <w:bookmarkStart w:id="1" w:name="_Toc3124"/>
      <w:bookmarkStart w:id="2" w:name="_Toc20135"/>
      <w:bookmarkStart w:id="3" w:name="_Toc18606"/>
      <w:bookmarkStart w:id="4" w:name="_Toc29408"/>
      <w:bookmarkStart w:id="5" w:name="_Toc445132171"/>
      <w:bookmarkStart w:id="6" w:name="_Toc444781818"/>
      <w:r>
        <w:rPr>
          <w:rFonts w:hint="eastAsia" w:ascii="Times New Roman" w:hAnsi="Times New Roman" w:eastAsia="宋体" w:cs="Times New Roman"/>
          <w:color w:val="auto"/>
          <w:lang w:val="en-US" w:eastAsia="zh-CN"/>
        </w:rPr>
        <w:t>附录C  福建省绿色建筑设计技术措施汇总表</w:t>
      </w:r>
      <w:bookmarkEnd w:id="0"/>
      <w:bookmarkEnd w:id="1"/>
      <w:bookmarkEnd w:id="2"/>
      <w:bookmarkEnd w:id="3"/>
      <w:bookmarkEnd w:id="4"/>
    </w:p>
    <w:p>
      <w:pPr>
        <w:spacing w:before="192" w:beforeLines="80" w:after="48" w:afterLines="20" w:line="240" w:lineRule="auto"/>
        <w:jc w:val="center"/>
        <w:outlineLvl w:val="1"/>
        <w:rPr>
          <w:rFonts w:hint="default" w:ascii="Times New Roman" w:hAnsi="Times New Roman" w:eastAsia="黑体" w:cs="黑体"/>
          <w:b w:val="0"/>
          <w:bCs w:val="0"/>
          <w:color w:val="auto"/>
          <w:sz w:val="18"/>
          <w:szCs w:val="18"/>
        </w:rPr>
      </w:pPr>
      <w:bookmarkStart w:id="7" w:name="_Toc26720"/>
      <w:bookmarkStart w:id="8" w:name="_Toc19261"/>
      <w:bookmarkStart w:id="9" w:name="_Toc26900"/>
      <w:bookmarkStart w:id="10" w:name="_Toc31667"/>
      <w:bookmarkStart w:id="11" w:name="_Toc19139"/>
      <w:bookmarkStart w:id="12" w:name="_Toc23421"/>
      <w:bookmarkStart w:id="13" w:name="_Toc24705"/>
      <w:bookmarkStart w:id="14" w:name="_Toc26531"/>
      <w:r>
        <w:rPr>
          <w:rFonts w:hint="default" w:ascii="Times New Roman" w:hAnsi="Times New Roman" w:eastAsia="黑体" w:cs="黑体"/>
          <w:b w:val="0"/>
          <w:bCs w:val="0"/>
          <w:color w:val="auto"/>
          <w:sz w:val="18"/>
          <w:szCs w:val="18"/>
        </w:rPr>
        <w:t>表C-1  绿色建筑设计工程基本情况表</w:t>
      </w:r>
      <w:bookmarkEnd w:id="7"/>
      <w:bookmarkEnd w:id="8"/>
      <w:bookmarkEnd w:id="9"/>
      <w:bookmarkEnd w:id="10"/>
      <w:bookmarkEnd w:id="11"/>
      <w:bookmarkEnd w:id="12"/>
      <w:bookmarkEnd w:id="13"/>
      <w:bookmarkEnd w:id="14"/>
    </w:p>
    <w:tbl>
      <w:tblPr>
        <w:tblStyle w:val="34"/>
        <w:tblW w:w="6110" w:type="dxa"/>
        <w:tblInd w:w="0" w:type="dxa"/>
        <w:tblLayout w:type="fixed"/>
        <w:tblCellMar>
          <w:top w:w="0" w:type="dxa"/>
          <w:left w:w="51" w:type="dxa"/>
          <w:bottom w:w="0" w:type="dxa"/>
          <w:right w:w="51" w:type="dxa"/>
        </w:tblCellMar>
      </w:tblPr>
      <w:tblGrid>
        <w:gridCol w:w="1508"/>
        <w:gridCol w:w="1861"/>
        <w:gridCol w:w="1640"/>
        <w:gridCol w:w="1101"/>
      </w:tblGrid>
      <w:tr>
        <w:tblPrEx>
          <w:tblCellMar>
            <w:top w:w="0" w:type="dxa"/>
            <w:left w:w="51" w:type="dxa"/>
            <w:bottom w:w="0" w:type="dxa"/>
            <w:right w:w="51" w:type="dxa"/>
          </w:tblCellMar>
        </w:tblPrEx>
        <w:trPr>
          <w:trHeight w:val="373" w:hRule="atLeast"/>
        </w:trPr>
        <w:tc>
          <w:tcPr>
            <w:tcW w:w="1508" w:type="dxa"/>
            <w:tcBorders>
              <w:top w:val="single" w:color="auto" w:sz="12"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工程名称</w:t>
            </w:r>
          </w:p>
        </w:tc>
        <w:tc>
          <w:tcPr>
            <w:tcW w:w="4602" w:type="dxa"/>
            <w:gridSpan w:val="3"/>
            <w:tcBorders>
              <w:top w:val="single" w:color="auto" w:sz="12" w:space="0"/>
              <w:left w:val="single" w:color="000000" w:sz="4" w:space="0"/>
              <w:bottom w:val="single" w:color="000000" w:sz="4"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r>
      <w:tr>
        <w:tblPrEx>
          <w:tblCellMar>
            <w:top w:w="0" w:type="dxa"/>
            <w:left w:w="51" w:type="dxa"/>
            <w:bottom w:w="0" w:type="dxa"/>
            <w:right w:w="51" w:type="dxa"/>
          </w:tblCellMar>
        </w:tblPrEx>
        <w:trPr>
          <w:trHeight w:val="653"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工程地点</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c>
          <w:tcPr>
            <w:tcW w:w="1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项目类型</w:t>
            </w:r>
          </w:p>
        </w:tc>
        <w:tc>
          <w:tcPr>
            <w:tcW w:w="1101" w:type="dxa"/>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住宅建筑</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公共建筑</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综合性建筑</w:t>
            </w:r>
          </w:p>
        </w:tc>
      </w:tr>
      <w:tr>
        <w:tblPrEx>
          <w:tblCellMar>
            <w:top w:w="0" w:type="dxa"/>
            <w:left w:w="51" w:type="dxa"/>
            <w:bottom w:w="0" w:type="dxa"/>
            <w:right w:w="51" w:type="dxa"/>
          </w:tblCellMar>
        </w:tblPrEx>
        <w:trPr>
          <w:trHeight w:val="397"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用地面积（</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c>
          <w:tcPr>
            <w:tcW w:w="1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总建筑面积（</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w:t>
            </w:r>
          </w:p>
        </w:tc>
        <w:tc>
          <w:tcPr>
            <w:tcW w:w="1101" w:type="dxa"/>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r>
      <w:tr>
        <w:tblPrEx>
          <w:tblCellMar>
            <w:top w:w="0" w:type="dxa"/>
            <w:left w:w="51" w:type="dxa"/>
            <w:bottom w:w="0" w:type="dxa"/>
            <w:right w:w="51" w:type="dxa"/>
          </w:tblCellMar>
        </w:tblPrEx>
        <w:trPr>
          <w:trHeight w:val="386"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地上建筑面积（</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c>
          <w:tcPr>
            <w:tcW w:w="1640"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地下建筑面积（</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w:t>
            </w:r>
          </w:p>
        </w:tc>
        <w:tc>
          <w:tcPr>
            <w:tcW w:w="1101" w:type="dxa"/>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i w:val="0"/>
                <w:iCs w:val="0"/>
                <w:color w:val="000000"/>
                <w:sz w:val="16"/>
                <w:szCs w:val="16"/>
                <w:u w:val="none"/>
              </w:rPr>
            </w:pPr>
          </w:p>
        </w:tc>
      </w:tr>
      <w:tr>
        <w:tblPrEx>
          <w:tblCellMar>
            <w:top w:w="0" w:type="dxa"/>
            <w:left w:w="51" w:type="dxa"/>
            <w:bottom w:w="0" w:type="dxa"/>
            <w:right w:w="51" w:type="dxa"/>
          </w:tblCellMar>
        </w:tblPrEx>
        <w:trPr>
          <w:trHeight w:val="450"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绿色建筑等级</w:t>
            </w:r>
          </w:p>
        </w:tc>
        <w:tc>
          <w:tcPr>
            <w:tcW w:w="4602" w:type="dxa"/>
            <w:gridSpan w:val="3"/>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auto"/>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 xml:space="preserve">基本级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 xml:space="preserve">一星级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 xml:space="preserve">二星级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三星级</w:t>
            </w:r>
          </w:p>
        </w:tc>
      </w:tr>
      <w:tr>
        <w:tblPrEx>
          <w:tblCellMar>
            <w:top w:w="0" w:type="dxa"/>
            <w:left w:w="51" w:type="dxa"/>
            <w:bottom w:w="0" w:type="dxa"/>
            <w:right w:w="51" w:type="dxa"/>
          </w:tblCellMar>
        </w:tblPrEx>
        <w:trPr>
          <w:trHeight w:val="567"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可再生能源应用</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政府投资或者以政府投资为主的公共建筑</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lang w:val="en-US"/>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建筑面积大于2</w:t>
            </w:r>
            <w:r>
              <w:rPr>
                <w:rFonts w:hint="eastAsia" w:cs="Times New Roman"/>
                <w:i w:val="0"/>
                <w:iCs w:val="0"/>
                <w:color w:val="000000"/>
                <w:kern w:val="0"/>
                <w:sz w:val="16"/>
                <w:szCs w:val="16"/>
                <w:u w:val="none"/>
                <w:lang w:val="en-US" w:eastAsia="zh-CN" w:bidi="ar"/>
              </w:rPr>
              <w:t>0000</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的公共建筑</w:t>
            </w:r>
          </w:p>
        </w:tc>
        <w:tc>
          <w:tcPr>
            <w:tcW w:w="2741" w:type="dxa"/>
            <w:gridSpan w:val="2"/>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可再生能源应用情况（光伏系统装机容量等）：</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详施工图：</w:t>
            </w:r>
          </w:p>
        </w:tc>
      </w:tr>
      <w:tr>
        <w:tblPrEx>
          <w:tblCellMar>
            <w:top w:w="0" w:type="dxa"/>
            <w:left w:w="51" w:type="dxa"/>
            <w:bottom w:w="0" w:type="dxa"/>
            <w:right w:w="51" w:type="dxa"/>
          </w:tblCellMar>
        </w:tblPrEx>
        <w:trPr>
          <w:trHeight w:val="288" w:hRule="atLeast"/>
        </w:trPr>
        <w:tc>
          <w:tcPr>
            <w:tcW w:w="1508" w:type="dxa"/>
            <w:vMerge w:val="restart"/>
            <w:tcBorders>
              <w:top w:val="single" w:color="000000" w:sz="4" w:space="0"/>
              <w:left w:val="single" w:color="auto" w:sz="12"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预留安装太阳能或者高效空气源热泵等热水系统的位置</w:t>
            </w:r>
          </w:p>
        </w:tc>
        <w:tc>
          <w:tcPr>
            <w:tcW w:w="4602" w:type="dxa"/>
            <w:gridSpan w:val="3"/>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cs="Times New Roman"/>
                <w:i w:val="0"/>
                <w:iCs w:val="0"/>
                <w:color w:val="000000"/>
                <w:kern w:val="0"/>
                <w:sz w:val="16"/>
                <w:szCs w:val="16"/>
                <w:u w:val="none"/>
                <w:lang w:val="en-US" w:eastAsia="zh-CN" w:bidi="ar"/>
              </w:rPr>
              <w:t>是否为</w:t>
            </w:r>
            <w:r>
              <w:rPr>
                <w:rFonts w:hint="default" w:ascii="Times New Roman" w:hAnsi="Times New Roman" w:eastAsia="宋体" w:cs="Times New Roman"/>
                <w:i w:val="0"/>
                <w:iCs w:val="0"/>
                <w:color w:val="000000"/>
                <w:kern w:val="0"/>
                <w:sz w:val="16"/>
                <w:szCs w:val="16"/>
                <w:u w:val="none"/>
                <w:lang w:val="en-US" w:eastAsia="zh-CN" w:bidi="ar"/>
              </w:rPr>
              <w:t>有热水需求的建筑</w:t>
            </w:r>
            <w:r>
              <w:rPr>
                <w:rFonts w:hint="eastAsia" w:cs="Times New Roman"/>
                <w:i w:val="0"/>
                <w:iCs w:val="0"/>
                <w:color w:val="000000"/>
                <w:kern w:val="0"/>
                <w:sz w:val="16"/>
                <w:szCs w:val="16"/>
                <w:u w:val="none"/>
                <w:lang w:val="en-US" w:eastAsia="zh-CN" w:bidi="ar"/>
              </w:rPr>
              <w:t>：□是；      □否；</w:t>
            </w:r>
          </w:p>
        </w:tc>
      </w:tr>
      <w:tr>
        <w:tblPrEx>
          <w:tblCellMar>
            <w:top w:w="0" w:type="dxa"/>
            <w:left w:w="51" w:type="dxa"/>
            <w:bottom w:w="0" w:type="dxa"/>
            <w:right w:w="51" w:type="dxa"/>
          </w:tblCellMar>
        </w:tblPrEx>
        <w:trPr>
          <w:trHeight w:val="799" w:hRule="atLeast"/>
        </w:trPr>
        <w:tc>
          <w:tcPr>
            <w:tcW w:w="1508" w:type="dxa"/>
            <w:vMerge w:val="continue"/>
            <w:tcBorders>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eastAsia"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有热水需求的建筑</w:t>
            </w:r>
            <w:r>
              <w:rPr>
                <w:rFonts w:hint="eastAsia" w:cs="Times New Roman"/>
                <w:i w:val="0"/>
                <w:iCs w:val="0"/>
                <w:color w:val="000000"/>
                <w:kern w:val="0"/>
                <w:sz w:val="16"/>
                <w:szCs w:val="16"/>
                <w:u w:val="none"/>
                <w:lang w:val="en-US" w:eastAsia="zh-CN" w:bidi="ar"/>
              </w:rPr>
              <w:t>类型</w:t>
            </w:r>
            <w:r>
              <w:rPr>
                <w:rFonts w:hint="eastAsia" w:ascii="Times New Roman" w:hAnsi="Times New Roman" w:eastAsia="宋体"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住宅</w:t>
            </w:r>
            <w:r>
              <w:rPr>
                <w:rFonts w:hint="eastAsia"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宾馆</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医院</w:t>
            </w:r>
            <w:r>
              <w:rPr>
                <w:rFonts w:hint="eastAsia" w:cs="Times New Roman"/>
                <w:i w:val="0"/>
                <w:iCs w:val="0"/>
                <w:color w:val="000000"/>
                <w:kern w:val="0"/>
                <w:sz w:val="16"/>
                <w:szCs w:val="16"/>
                <w:u w:val="none"/>
                <w:lang w:val="en-US" w:eastAsia="zh-CN" w:bidi="ar"/>
              </w:rPr>
              <w:t xml:space="preserve">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学校</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eastAsia" w:cs="Times New Roman"/>
                <w:i w:val="0"/>
                <w:iCs w:val="0"/>
                <w:color w:val="000000"/>
                <w:kern w:val="0"/>
                <w:sz w:val="16"/>
                <w:szCs w:val="16"/>
                <w:u w:val="none"/>
                <w:lang w:val="en-US" w:eastAsia="zh-CN" w:bidi="ar"/>
              </w:rPr>
              <w:t>其他</w:t>
            </w:r>
          </w:p>
        </w:tc>
        <w:tc>
          <w:tcPr>
            <w:tcW w:w="2741" w:type="dxa"/>
            <w:gridSpan w:val="2"/>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设计情况：</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left"/>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详施工图：</w:t>
            </w:r>
          </w:p>
        </w:tc>
      </w:tr>
      <w:tr>
        <w:tblPrEx>
          <w:tblCellMar>
            <w:top w:w="0" w:type="dxa"/>
            <w:left w:w="51" w:type="dxa"/>
            <w:bottom w:w="0" w:type="dxa"/>
            <w:right w:w="51" w:type="dxa"/>
          </w:tblCellMar>
        </w:tblPrEx>
        <w:trPr>
          <w:trHeight w:val="567"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建筑信息模型（BIM）技术应用</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lang w:val="en-US"/>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政府投资或者以政府投资为主的公共建筑</w:t>
            </w:r>
          </w:p>
        </w:tc>
        <w:tc>
          <w:tcPr>
            <w:tcW w:w="2741" w:type="dxa"/>
            <w:gridSpan w:val="2"/>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建筑信息模型（BIM）技术应用情况：</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cs="Times New Roman"/>
                <w:i w:val="0"/>
                <w:iCs w:val="0"/>
                <w:color w:val="000000"/>
                <w:kern w:val="0"/>
                <w:sz w:val="16"/>
                <w:szCs w:val="16"/>
                <w:u w:val="none"/>
                <w:lang w:val="en-US" w:eastAsia="zh-CN" w:bidi="ar"/>
              </w:rPr>
              <w:t>详</w:t>
            </w:r>
            <w:r>
              <w:rPr>
                <w:rFonts w:hint="default" w:ascii="Times New Roman" w:hAnsi="Times New Roman" w:eastAsia="宋体" w:cs="Times New Roman"/>
                <w:i w:val="0"/>
                <w:iCs w:val="0"/>
                <w:color w:val="000000"/>
                <w:kern w:val="0"/>
                <w:sz w:val="16"/>
                <w:szCs w:val="16"/>
                <w:u w:val="none"/>
                <w:lang w:val="en-US" w:eastAsia="zh-CN" w:bidi="ar"/>
              </w:rPr>
              <w:t>BIM技术应用报告：</w:t>
            </w:r>
          </w:p>
        </w:tc>
      </w:tr>
      <w:tr>
        <w:tblPrEx>
          <w:tblCellMar>
            <w:top w:w="0" w:type="dxa"/>
            <w:left w:w="51" w:type="dxa"/>
            <w:bottom w:w="0" w:type="dxa"/>
            <w:right w:w="51" w:type="dxa"/>
          </w:tblCellMar>
        </w:tblPrEx>
        <w:trPr>
          <w:trHeight w:val="567" w:hRule="atLeast"/>
        </w:trPr>
        <w:tc>
          <w:tcPr>
            <w:tcW w:w="1508" w:type="dxa"/>
            <w:tcBorders>
              <w:top w:val="single" w:color="000000" w:sz="4" w:space="0"/>
              <w:left w:val="single" w:color="auto" w:sz="12"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全装修设计</w:t>
            </w:r>
          </w:p>
        </w:tc>
        <w:tc>
          <w:tcPr>
            <w:tcW w:w="1861" w:type="dxa"/>
            <w:tcBorders>
              <w:top w:val="single" w:color="000000" w:sz="4" w:space="0"/>
              <w:left w:val="single" w:color="000000" w:sz="4" w:space="0"/>
              <w:bottom w:val="single" w:color="000000" w:sz="4"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保障性住房</w:t>
            </w:r>
          </w:p>
        </w:tc>
        <w:tc>
          <w:tcPr>
            <w:tcW w:w="2741" w:type="dxa"/>
            <w:gridSpan w:val="2"/>
            <w:tcBorders>
              <w:top w:val="single" w:color="000000" w:sz="4" w:space="0"/>
              <w:left w:val="single" w:color="000000" w:sz="4" w:space="0"/>
              <w:bottom w:val="single" w:color="000000"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全装修设计情况：</w:t>
            </w:r>
          </w:p>
          <w:p>
            <w:pPr>
              <w:keepNext w:val="0"/>
              <w:keepLines w:val="0"/>
              <w:pageBreakBefore w:val="0"/>
              <w:widowControl/>
              <w:suppressLineNumbers w:val="0"/>
              <w:kinsoku/>
              <w:wordWrap/>
              <w:overflowPunct/>
              <w:topLinePunct w:val="0"/>
              <w:autoSpaceDE/>
              <w:autoSpaceDN/>
              <w:bidi w:val="0"/>
              <w:adjustRightInd/>
              <w:snapToGrid w:val="0"/>
              <w:spacing w:line="240" w:lineRule="auto"/>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详施工图</w:t>
            </w:r>
            <w:bookmarkStart w:id="59" w:name="_GoBack"/>
            <w:bookmarkEnd w:id="59"/>
            <w:r>
              <w:rPr>
                <w:rFonts w:hint="default" w:ascii="Times New Roman" w:hAnsi="Times New Roman" w:eastAsia="宋体" w:cs="Times New Roman"/>
                <w:i w:val="0"/>
                <w:iCs w:val="0"/>
                <w:color w:val="000000"/>
                <w:kern w:val="0"/>
                <w:sz w:val="16"/>
                <w:szCs w:val="16"/>
                <w:u w:val="none"/>
                <w:lang w:val="en-US" w:eastAsia="zh-CN" w:bidi="ar"/>
              </w:rPr>
              <w:t>：</w:t>
            </w:r>
          </w:p>
        </w:tc>
      </w:tr>
      <w:tr>
        <w:tblPrEx>
          <w:tblCellMar>
            <w:top w:w="0" w:type="dxa"/>
            <w:left w:w="51" w:type="dxa"/>
            <w:bottom w:w="0" w:type="dxa"/>
            <w:right w:w="51" w:type="dxa"/>
          </w:tblCellMar>
        </w:tblPrEx>
        <w:trPr>
          <w:trHeight w:val="461" w:hRule="atLeast"/>
        </w:trPr>
        <w:tc>
          <w:tcPr>
            <w:tcW w:w="1508" w:type="dxa"/>
            <w:tcBorders>
              <w:top w:val="single" w:color="000000" w:sz="4" w:space="0"/>
              <w:left w:val="single" w:color="auto" w:sz="12" w:space="0"/>
              <w:bottom w:val="single" w:color="auto" w:sz="12" w:space="0"/>
              <w:right w:val="single" w:color="000000" w:sz="4"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4602" w:type="dxa"/>
            <w:gridSpan w:val="3"/>
            <w:tcBorders>
              <w:top w:val="single" w:color="000000" w:sz="4" w:space="0"/>
              <w:left w:val="single" w:color="000000"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 xml:space="preserve">符合基本规定的要求    </w:t>
            </w: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不符合基本规定的要求</w:t>
            </w:r>
          </w:p>
        </w:tc>
      </w:tr>
    </w:tbl>
    <w:p>
      <w:pPr>
        <w:keepNext w:val="0"/>
        <w:keepLines w:val="0"/>
        <w:pageBreakBefore w:val="0"/>
        <w:widowControl/>
        <w:suppressLineNumbers w:val="0"/>
        <w:kinsoku/>
        <w:wordWrap/>
        <w:overflowPunct/>
        <w:topLinePunct w:val="0"/>
        <w:autoSpaceDE/>
        <w:autoSpaceDN/>
        <w:bidi w:val="0"/>
        <w:adjustRightInd/>
        <w:snapToGrid/>
        <w:spacing w:line="200" w:lineRule="exact"/>
        <w:ind w:left="560" w:hanging="525" w:hangingChars="350"/>
        <w:jc w:val="both"/>
        <w:textAlignment w:val="center"/>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本表由建筑专业汇总填写，建筑专业牵头审图，并</w:t>
      </w:r>
      <w:r>
        <w:rPr>
          <w:rFonts w:hint="eastAsia" w:cs="Times New Roman"/>
          <w:i w:val="0"/>
          <w:iCs w:val="0"/>
          <w:color w:val="000000"/>
          <w:kern w:val="0"/>
          <w:sz w:val="15"/>
          <w:szCs w:val="15"/>
          <w:u w:val="none"/>
          <w:lang w:val="en-US" w:eastAsia="zh-CN" w:bidi="ar"/>
        </w:rPr>
        <w:t>编入</w:t>
      </w:r>
      <w:r>
        <w:rPr>
          <w:rFonts w:hint="default" w:ascii="Times New Roman" w:hAnsi="Times New Roman" w:eastAsia="宋体" w:cs="Times New Roman"/>
          <w:i w:val="0"/>
          <w:iCs w:val="0"/>
          <w:color w:val="000000"/>
          <w:kern w:val="0"/>
          <w:sz w:val="15"/>
          <w:szCs w:val="15"/>
          <w:u w:val="none"/>
          <w:lang w:val="en-US" w:eastAsia="zh-CN" w:bidi="ar"/>
        </w:rPr>
        <w:t>建筑专业绿色建筑专篇</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0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依据本标准第3.</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0.</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8条、第3.</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0.</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9条、第3.</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0.</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10条、第3.</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0.</w:t>
      </w:r>
      <w:r>
        <w:rPr>
          <w:rFonts w:hint="eastAsia"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1</w:t>
      </w:r>
      <w:r>
        <w:rPr>
          <w:rFonts w:hint="eastAsia" w:ascii="Times New Roman" w:hAnsi="Times New Roman" w:eastAsia="宋体" w:cs="Times New Roman"/>
          <w:i w:val="0"/>
          <w:iCs w:val="0"/>
          <w:color w:val="000000"/>
          <w:kern w:val="0"/>
          <w:sz w:val="15"/>
          <w:szCs w:val="15"/>
          <w:u w:val="none"/>
          <w:lang w:val="en-US" w:eastAsia="zh-CN" w:bidi="ar"/>
        </w:rPr>
        <w:t>1</w:t>
      </w:r>
      <w:r>
        <w:rPr>
          <w:rFonts w:hint="default" w:ascii="Times New Roman" w:hAnsi="Times New Roman" w:eastAsia="宋体" w:cs="Times New Roman"/>
          <w:i w:val="0"/>
          <w:iCs w:val="0"/>
          <w:color w:val="000000"/>
          <w:kern w:val="0"/>
          <w:sz w:val="15"/>
          <w:szCs w:val="15"/>
          <w:u w:val="none"/>
          <w:lang w:val="en-US" w:eastAsia="zh-CN" w:bidi="ar"/>
        </w:rPr>
        <w:t>条的要求，应填写可再生能源、有热水需求的建筑</w:t>
      </w:r>
      <w:r>
        <w:rPr>
          <w:rFonts w:hint="eastAsia"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建筑信息模型（BIM）技术应用及全装修设计等情况，并列出施工图设计文件</w:t>
      </w:r>
      <w:r>
        <w:rPr>
          <w:rFonts w:hint="eastAsia" w:ascii="Times New Roman" w:hAnsi="Times New Roman" w:eastAsia="宋体" w:cs="Times New Roman"/>
          <w:i w:val="0"/>
          <w:iCs w:val="0"/>
          <w:color w:val="000000"/>
          <w:kern w:val="0"/>
          <w:sz w:val="15"/>
          <w:szCs w:val="15"/>
          <w:u w:val="none"/>
          <w:lang w:val="en-US" w:eastAsia="zh-CN" w:bidi="ar"/>
        </w:rPr>
        <w:t>；</w:t>
      </w:r>
    </w:p>
    <w:p>
      <w:pPr>
        <w:pStyle w:val="41"/>
        <w:keepNext w:val="0"/>
        <w:keepLines w:val="0"/>
        <w:pageBreakBefore w:val="0"/>
        <w:widowControl w:val="0"/>
        <w:kinsoku/>
        <w:wordWrap/>
        <w:overflowPunct/>
        <w:topLinePunct w:val="0"/>
        <w:bidi w:val="0"/>
        <w:snapToGrid/>
        <w:spacing w:line="200" w:lineRule="exact"/>
        <w:ind w:left="540" w:leftChars="150" w:hanging="225" w:hangingChars="150"/>
        <w:textAlignment w:val="auto"/>
        <w:rPr>
          <w:rFonts w:hint="default" w:ascii="Times New Roman" w:hAnsi="Times New Roman" w:eastAsia="宋体" w:cs="Times New Roman"/>
          <w:sz w:val="15"/>
          <w:szCs w:val="15"/>
          <w:lang w:val="en-US" w:eastAsia="zh-CN" w:bidi="ar"/>
        </w:rPr>
        <w:sectPr>
          <w:headerReference r:id="rId5" w:type="default"/>
          <w:footerReference r:id="rId6" w:type="default"/>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r>
        <w:rPr>
          <w:rFonts w:hint="default" w:ascii="Times New Roman" w:hAnsi="Times New Roman" w:eastAsia="宋体" w:cs="Times New Roman"/>
          <w:sz w:val="15"/>
          <w:szCs w:val="15"/>
          <w:lang w:val="en-US" w:eastAsia="zh-CN" w:bidi="ar"/>
        </w:rPr>
        <w:t>3</w:t>
      </w:r>
      <w:r>
        <w:rPr>
          <w:rFonts w:hint="eastAsia" w:ascii="Times New Roman" w:hAnsi="Times New Roman" w:eastAsia="宋体" w:cs="Times New Roman"/>
          <w:sz w:val="15"/>
          <w:szCs w:val="15"/>
          <w:lang w:val="en-US" w:eastAsia="zh-CN" w:bidi="ar"/>
        </w:rPr>
        <w:t xml:space="preserve">  </w:t>
      </w:r>
      <w:r>
        <w:rPr>
          <w:rFonts w:hint="default" w:ascii="Times New Roman" w:hAnsi="Times New Roman" w:eastAsia="宋体" w:cs="Times New Roman"/>
          <w:sz w:val="15"/>
          <w:szCs w:val="15"/>
          <w:lang w:val="en-US" w:eastAsia="zh-CN" w:bidi="ar"/>
        </w:rPr>
        <w:t>二星</w:t>
      </w:r>
      <w:r>
        <w:rPr>
          <w:rFonts w:hint="eastAsia" w:ascii="Times New Roman" w:cs="Times New Roman"/>
          <w:sz w:val="15"/>
          <w:szCs w:val="15"/>
          <w:lang w:val="en-US" w:eastAsia="zh-CN" w:bidi="ar"/>
        </w:rPr>
        <w:t>级</w:t>
      </w:r>
      <w:r>
        <w:rPr>
          <w:rFonts w:hint="default" w:ascii="Times New Roman" w:hAnsi="Times New Roman" w:eastAsia="宋体" w:cs="Times New Roman"/>
          <w:sz w:val="15"/>
          <w:szCs w:val="15"/>
          <w:lang w:val="en-US" w:eastAsia="zh-CN" w:bidi="ar"/>
        </w:rPr>
        <w:t>、三星</w:t>
      </w:r>
      <w:r>
        <w:rPr>
          <w:rFonts w:hint="eastAsia" w:ascii="Times New Roman" w:cs="Times New Roman"/>
          <w:sz w:val="15"/>
          <w:szCs w:val="15"/>
          <w:lang w:val="en-US" w:eastAsia="zh-CN" w:bidi="ar"/>
        </w:rPr>
        <w:t>级</w:t>
      </w:r>
      <w:r>
        <w:rPr>
          <w:rFonts w:hint="default" w:ascii="Times New Roman" w:hAnsi="Times New Roman" w:eastAsia="宋体" w:cs="Times New Roman"/>
          <w:sz w:val="15"/>
          <w:szCs w:val="15"/>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sz w:val="15"/>
          <w:szCs w:val="15"/>
          <w:lang w:val="en-US" w:eastAsia="zh-CN" w:bidi="ar"/>
        </w:rPr>
        <w:t xml:space="preserve">T </w:t>
      </w:r>
      <w:r>
        <w:rPr>
          <w:rFonts w:hint="default" w:ascii="Times New Roman" w:hAnsi="Times New Roman" w:eastAsia="宋体" w:cs="Times New Roman"/>
          <w:sz w:val="15"/>
          <w:szCs w:val="15"/>
          <w:lang w:val="en-US" w:eastAsia="zh-CN" w:bidi="ar"/>
        </w:rPr>
        <w:t>13-118的要求。</w:t>
      </w:r>
    </w:p>
    <w:p>
      <w:pPr>
        <w:spacing w:before="192" w:beforeLines="80" w:after="48" w:afterLines="20" w:line="240" w:lineRule="auto"/>
        <w:jc w:val="center"/>
        <w:outlineLvl w:val="1"/>
        <w:rPr>
          <w:rFonts w:hint="default" w:ascii="Times New Roman" w:hAnsi="Times New Roman" w:eastAsia="黑体" w:cs="黑体"/>
          <w:b w:val="0"/>
          <w:bCs w:val="0"/>
          <w:color w:val="auto"/>
          <w:sz w:val="18"/>
          <w:szCs w:val="18"/>
        </w:rPr>
      </w:pPr>
      <w:bookmarkStart w:id="15" w:name="_Toc22927"/>
      <w:bookmarkStart w:id="16" w:name="_Toc28721"/>
      <w:bookmarkStart w:id="17" w:name="_Toc24818"/>
      <w:bookmarkStart w:id="18" w:name="_Toc5887"/>
      <w:bookmarkStart w:id="19" w:name="_Toc7844"/>
      <w:bookmarkStart w:id="20" w:name="_Toc13689"/>
      <w:bookmarkStart w:id="21" w:name="_Toc2015"/>
      <w:bookmarkStart w:id="22" w:name="_Toc11668"/>
      <w:r>
        <w:rPr>
          <w:rFonts w:hint="default" w:ascii="Times New Roman" w:hAnsi="Times New Roman" w:eastAsia="黑体" w:cs="黑体"/>
          <w:b w:val="0"/>
          <w:bCs w:val="0"/>
          <w:color w:val="auto"/>
          <w:sz w:val="18"/>
          <w:szCs w:val="18"/>
        </w:rPr>
        <w:t>表C-2  总平面</w:t>
      </w:r>
      <w:r>
        <w:rPr>
          <w:rFonts w:hint="default" w:ascii="Times New Roman" w:hAnsi="Times New Roman" w:eastAsia="黑体" w:cs="黑体"/>
          <w:b w:val="0"/>
          <w:bCs w:val="0"/>
          <w:color w:val="auto"/>
          <w:sz w:val="18"/>
          <w:szCs w:val="18"/>
          <w:lang w:eastAsia="zh-CN"/>
        </w:rPr>
        <w:t>设计</w:t>
      </w:r>
      <w:r>
        <w:rPr>
          <w:rFonts w:hint="default" w:ascii="Times New Roman" w:hAnsi="Times New Roman" w:eastAsia="黑体" w:cs="黑体"/>
          <w:b w:val="0"/>
          <w:bCs w:val="0"/>
          <w:color w:val="auto"/>
          <w:sz w:val="18"/>
          <w:szCs w:val="18"/>
        </w:rPr>
        <w:t>绿色建筑技术措施汇总表</w:t>
      </w:r>
      <w:bookmarkEnd w:id="15"/>
      <w:bookmarkEnd w:id="16"/>
      <w:bookmarkEnd w:id="17"/>
      <w:bookmarkEnd w:id="18"/>
      <w:bookmarkEnd w:id="19"/>
      <w:bookmarkEnd w:id="20"/>
      <w:bookmarkEnd w:id="21"/>
      <w:bookmarkEnd w:id="22"/>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4085"/>
        <w:gridCol w:w="449"/>
        <w:gridCol w:w="107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408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07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25"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4.1.1</w:t>
            </w:r>
          </w:p>
        </w:tc>
        <w:tc>
          <w:tcPr>
            <w:tcW w:w="408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场地的规划设计应符合项目所在地城乡规划的要求，且应符合各类保护区、文物古迹保护等建设控制要求。</w:t>
            </w:r>
          </w:p>
        </w:tc>
        <w:tc>
          <w:tcPr>
            <w:tcW w:w="44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keepNext w:val="0"/>
              <w:keepLines w:val="0"/>
              <w:pageBreakBefore w:val="0"/>
              <w:kinsoku/>
              <w:wordWrap/>
              <w:overflowPunct/>
              <w:topLinePunct w:val="0"/>
              <w:bidi w:val="0"/>
              <w:snapToGrid/>
              <w:spacing w:line="200" w:lineRule="exact"/>
              <w:rPr>
                <w:rFonts w:hint="eastAsia" w:ascii="宋体" w:hAnsi="宋体" w:eastAsia="宋体" w:cs="宋体"/>
                <w:color w:val="auto"/>
                <w:kern w:val="0"/>
                <w:sz w:val="16"/>
                <w:szCs w:val="16"/>
                <w:lang w:eastAsia="zh-CN"/>
              </w:rPr>
            </w:pPr>
            <w:r>
              <w:rPr>
                <w:rFonts w:hint="eastAsia" w:ascii="宋体" w:hAnsi="宋体" w:cs="宋体"/>
                <w:color w:val="auto"/>
                <w:kern w:val="0"/>
                <w:sz w:val="16"/>
                <w:szCs w:val="16"/>
              </w:rPr>
              <w:t>□</w:t>
            </w:r>
            <w:r>
              <w:rPr>
                <w:rFonts w:hint="eastAsia" w:ascii="宋体" w:hAnsi="宋体" w:cs="宋体"/>
                <w:color w:val="auto"/>
                <w:kern w:val="0"/>
                <w:sz w:val="16"/>
                <w:szCs w:val="16"/>
                <w:lang w:eastAsia="zh-CN"/>
              </w:rPr>
              <w:t>详建筑施工图：</w:t>
            </w:r>
          </w:p>
          <w:p>
            <w:pPr>
              <w:keepNext w:val="0"/>
              <w:keepLines w:val="0"/>
              <w:pageBreakBefore w:val="0"/>
              <w:kinsoku/>
              <w:wordWrap/>
              <w:overflowPunct/>
              <w:topLinePunct w:val="0"/>
              <w:bidi w:val="0"/>
              <w:snapToGrid/>
              <w:spacing w:line="200" w:lineRule="exact"/>
              <w:rPr>
                <w:rFonts w:hint="eastAsia" w:ascii="宋体" w:hAnsi="宋体" w:cs="宋体"/>
                <w:color w:val="auto"/>
                <w:kern w:val="0"/>
                <w:sz w:val="16"/>
                <w:szCs w:val="16"/>
              </w:rPr>
            </w:pPr>
            <w:r>
              <w:rPr>
                <w:rFonts w:hint="eastAsia" w:ascii="宋体" w:hAnsi="宋体" w:cs="宋体"/>
                <w:color w:val="auto"/>
                <w:kern w:val="0"/>
                <w:sz w:val="16"/>
                <w:szCs w:val="16"/>
              </w:rPr>
              <w:t>□规划局方案批文</w:t>
            </w:r>
          </w:p>
          <w:p>
            <w:pPr>
              <w:keepNext w:val="0"/>
              <w:keepLines w:val="0"/>
              <w:pageBreakBefore w:val="0"/>
              <w:kinsoku/>
              <w:wordWrap/>
              <w:overflowPunct/>
              <w:topLinePunct w:val="0"/>
              <w:bidi w:val="0"/>
              <w:snapToGrid/>
              <w:spacing w:line="200" w:lineRule="exact"/>
              <w:rPr>
                <w:rFonts w:hint="eastAsia" w:ascii="宋体" w:hAnsi="宋体" w:eastAsia="宋体" w:cs="宋体"/>
                <w:color w:val="auto"/>
                <w:kern w:val="0"/>
                <w:sz w:val="16"/>
                <w:szCs w:val="16"/>
                <w:lang w:eastAsia="zh-CN"/>
              </w:rPr>
            </w:pPr>
            <w:r>
              <w:rPr>
                <w:rFonts w:hint="eastAsia" w:ascii="宋体" w:hAnsi="宋体" w:cs="宋体"/>
                <w:color w:val="auto"/>
                <w:kern w:val="0"/>
                <w:sz w:val="16"/>
                <w:szCs w:val="16"/>
              </w:rPr>
              <w:t>□环评</w:t>
            </w:r>
            <w:r>
              <w:rPr>
                <w:rFonts w:hint="eastAsia" w:ascii="宋体" w:hAnsi="宋体" w:cs="宋体"/>
                <w:color w:val="auto"/>
                <w:kern w:val="0"/>
                <w:sz w:val="16"/>
                <w:szCs w:val="16"/>
                <w:lang w:val="en-US" w:eastAsia="zh-CN"/>
              </w:rPr>
              <w:t>文件</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宋体" w:hAnsi="宋体" w:cs="宋体"/>
                <w:color w:val="auto"/>
                <w:kern w:val="0"/>
                <w:sz w:val="16"/>
                <w:szCs w:val="16"/>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12"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4.1.2</w:t>
            </w:r>
          </w:p>
        </w:tc>
        <w:tc>
          <w:tcPr>
            <w:tcW w:w="408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场地的自然条件应安全可靠，总平面设计应符合下列要求：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应避开可能产生洪水、泥石流、滑坡等自然灾害的地段；</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应避开地震时可能发生滑坡、崩坍、地陷、地裂、泥石流及地震断裂带上可能发生地表错位等抗震危险地段；</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当不能避开上述安全隐患时，应采取措施保证场地对可能产生的自然灾害或次生灾害有充分的抵御能力。</w:t>
            </w:r>
          </w:p>
        </w:tc>
        <w:tc>
          <w:tcPr>
            <w:tcW w:w="44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□地勘报告</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□环评文件</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0"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4.1.3</w:t>
            </w:r>
          </w:p>
        </w:tc>
        <w:tc>
          <w:tcPr>
            <w:tcW w:w="408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建筑工程设计前，应依据现行国家标准《建筑环境通用规范》GB 55016进行建筑场地土壤中氡浓度检测，并依据检测结果采取防氡工程措施。</w:t>
            </w:r>
          </w:p>
        </w:tc>
        <w:tc>
          <w:tcPr>
            <w:tcW w:w="44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□环评文件</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□土壤氡检测报告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20"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4.1.4</w:t>
            </w:r>
          </w:p>
        </w:tc>
        <w:tc>
          <w:tcPr>
            <w:tcW w:w="408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场地应无危险化学品、易燃易爆危险源的威胁，应无电磁辐射危害，且场地内不得有排放超标的污染源。场地设计应依据环境影响评价文件，对存在的场地威胁、危害或污染源采取相应的处理措施。</w:t>
            </w:r>
          </w:p>
        </w:tc>
        <w:tc>
          <w:tcPr>
            <w:tcW w:w="44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□环评文件</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4.1.5</w:t>
            </w:r>
          </w:p>
        </w:tc>
        <w:tc>
          <w:tcPr>
            <w:tcW w:w="408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场地应按照现行国家标准《无障碍设计规范》GB 50763和《建筑与市政工程无障碍通用规范》GB 55019的要求进行无障碍设计，并且建筑、室外场地、公共绿地、城市道路相互之间应设置连贯的无障碍步行系统。</w:t>
            </w:r>
          </w:p>
        </w:tc>
        <w:tc>
          <w:tcPr>
            <w:tcW w:w="449"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4.1.6</w:t>
            </w:r>
          </w:p>
        </w:tc>
        <w:tc>
          <w:tcPr>
            <w:tcW w:w="408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停车场应设置数量足够的电动汽车车位及无障碍车位，位置应合理。</w:t>
            </w:r>
          </w:p>
        </w:tc>
        <w:tc>
          <w:tcPr>
            <w:tcW w:w="449"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31" w:hRule="atLeast"/>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4.1.7</w:t>
            </w:r>
          </w:p>
        </w:tc>
        <w:tc>
          <w:tcPr>
            <w:tcW w:w="408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应结合场地条件合理设置停车场所，并应符合下列要求：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自行</w:t>
            </w:r>
            <w:r>
              <w:rPr>
                <w:rFonts w:hint="default" w:ascii="Times New Roman" w:hAnsi="Times New Roman" w:eastAsia="宋体" w:cs="Times New Roman"/>
                <w:i w:val="0"/>
                <w:iCs w:val="0"/>
                <w:color w:val="000000"/>
                <w:kern w:val="0"/>
                <w:sz w:val="16"/>
                <w:szCs w:val="16"/>
                <w:u w:val="none"/>
                <w:lang w:val="en-US" w:eastAsia="zh-CN" w:bidi="ar"/>
              </w:rPr>
              <w:t>车停车场所位置应合理设置、方便出入</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机动车地面停车位不应挤占行人活动空间。</w:t>
            </w:r>
          </w:p>
        </w:tc>
        <w:tc>
          <w:tcPr>
            <w:tcW w:w="44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07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val="0"/>
        </w:rPr>
      </w:pPr>
      <w:r>
        <w:rPr>
          <w:rFonts w:hint="eastAsia" w:eastAsia="黑体" w:cs="黑体"/>
          <w:b w:val="0"/>
          <w:bCs w:val="0"/>
          <w:color w:val="auto"/>
          <w:sz w:val="18"/>
          <w:szCs w:val="18"/>
          <w:lang w:val="en-US" w:eastAsia="zh-CN"/>
        </w:rPr>
        <w:t>续</w:t>
      </w:r>
      <w:r>
        <w:rPr>
          <w:rFonts w:hint="default" w:ascii="Times New Roman" w:hAnsi="Times New Roman" w:eastAsia="黑体" w:cs="黑体"/>
          <w:b w:val="0"/>
          <w:bCs w:val="0"/>
          <w:color w:val="auto"/>
          <w:sz w:val="18"/>
          <w:szCs w:val="18"/>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529"/>
        <w:gridCol w:w="371"/>
        <w:gridCol w:w="98"/>
        <w:gridCol w:w="300"/>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99"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4.1.8</w:t>
            </w:r>
          </w:p>
        </w:tc>
        <w:tc>
          <w:tcPr>
            <w:tcW w:w="3998" w:type="dxa"/>
            <w:gridSpan w:val="3"/>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建筑规划布局应满足日照标准，且不得降低周边建筑的日照标准。</w:t>
            </w:r>
          </w:p>
        </w:tc>
        <w:tc>
          <w:tcPr>
            <w:tcW w:w="30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eastAsia="宋体" w:cs="宋体"/>
                <w:color w:val="auto"/>
                <w:sz w:val="16"/>
                <w:szCs w:val="16"/>
                <w:lang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rPr>
                <w:rFonts w:hint="eastAsia" w:ascii="宋体" w:hAnsi="宋体" w:cs="宋体"/>
                <w:color w:val="auto"/>
                <w:kern w:val="0"/>
                <w:sz w:val="16"/>
                <w:szCs w:val="16"/>
              </w:rPr>
            </w:pPr>
            <w:r>
              <w:rPr>
                <w:rFonts w:hint="eastAsia" w:ascii="宋体" w:hAnsi="宋体" w:cs="宋体"/>
                <w:color w:val="auto"/>
                <w:kern w:val="0"/>
                <w:sz w:val="16"/>
                <w:szCs w:val="16"/>
              </w:rPr>
              <w:t>□建筑日照分析报告</w:t>
            </w:r>
          </w:p>
          <w:p>
            <w:pPr>
              <w:keepNext w:val="0"/>
              <w:keepLines w:val="0"/>
              <w:pageBreakBefore w:val="0"/>
              <w:kinsoku/>
              <w:wordWrap/>
              <w:overflowPunct/>
              <w:topLinePunct w:val="0"/>
              <w:bidi w:val="0"/>
              <w:spacing w:line="200" w:lineRule="exact"/>
              <w:rPr>
                <w:rFonts w:hint="eastAsia" w:ascii="宋体" w:hAnsi="宋体" w:cs="宋体"/>
                <w:color w:val="auto"/>
                <w:sz w:val="16"/>
                <w:szCs w:val="16"/>
                <w:lang w:val="en-US" w:eastAsia="zh-CN"/>
              </w:rPr>
            </w:pPr>
            <w:r>
              <w:rPr>
                <w:rFonts w:hint="eastAsia" w:ascii="宋体" w:hAnsi="宋体" w:cs="宋体"/>
                <w:color w:val="auto"/>
                <w:kern w:val="0"/>
                <w:sz w:val="16"/>
                <w:szCs w:val="16"/>
              </w:rPr>
              <w:t>□建设工程规划许可证</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62"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4.1.9</w:t>
            </w:r>
          </w:p>
        </w:tc>
        <w:tc>
          <w:tcPr>
            <w:tcW w:w="3998"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住宅户外活动场地应进行热环境设计，应满足现行行业标准《城市居住区热环境设计标准》JGJ 286有关通风、遮阳、渗透与蒸发、绿地与绿化的规定性设计要求，或场地内平均热岛强度模拟预测值不大于1.5℃。</w:t>
            </w:r>
          </w:p>
        </w:tc>
        <w:tc>
          <w:tcPr>
            <w:tcW w:w="30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rPr>
                <w:rFonts w:hint="default" w:ascii="宋体" w:hAnsi="宋体" w:eastAsia="宋体" w:cs="宋体"/>
                <w:color w:val="auto"/>
                <w:sz w:val="16"/>
                <w:szCs w:val="16"/>
                <w:lang w:val="en-US" w:eastAsia="zh-CN"/>
              </w:rPr>
            </w:pPr>
            <w:r>
              <w:rPr>
                <w:rFonts w:hint="eastAsia" w:ascii="宋体" w:hAnsi="宋体" w:cs="宋体"/>
                <w:color w:val="auto"/>
                <w:kern w:val="0"/>
                <w:sz w:val="16"/>
                <w:szCs w:val="16"/>
              </w:rPr>
              <w:t>□</w:t>
            </w:r>
            <w:r>
              <w:rPr>
                <w:rFonts w:hint="eastAsia" w:ascii="宋体" w:hAnsi="宋体" w:cs="宋体"/>
                <w:color w:val="auto"/>
                <w:kern w:val="0"/>
                <w:sz w:val="16"/>
                <w:szCs w:val="16"/>
                <w:lang w:val="en-US" w:eastAsia="zh-CN"/>
              </w:rPr>
              <w:t>场地热环境</w:t>
            </w:r>
            <w:r>
              <w:rPr>
                <w:rFonts w:hint="default" w:ascii="Times New Roman" w:hAnsi="Times New Roman" w:eastAsia="宋体" w:cs="Times New Roman"/>
                <w:i w:val="0"/>
                <w:iCs w:val="0"/>
                <w:color w:val="000000"/>
                <w:kern w:val="0"/>
                <w:sz w:val="16"/>
                <w:szCs w:val="16"/>
                <w:highlight w:val="none"/>
                <w:u w:val="none"/>
                <w:lang w:val="en-US" w:eastAsia="zh-CN" w:bidi="ar"/>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74"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4.1.10</w:t>
            </w:r>
          </w:p>
        </w:tc>
        <w:tc>
          <w:tcPr>
            <w:tcW w:w="3998" w:type="dxa"/>
            <w:gridSpan w:val="3"/>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配建的绿地应符合所在地城乡规划的要求，应合理选择绿化方式，科学配置绿化植物，并应符合下列要求：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植物种植适应当地气候和土壤条件，且应无毒害，易维护，应满足70%以上种植采用乡土植物，绿化物种应构成乔、灌、草及层间植物相结合的多层次植物群落</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植物品种可参考本标准附录D选用</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当在地下室顶板上部设计绿化设施时，其覆土深度应满足植物生长要求</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住宅建筑室外绿地配植乔木不应少于3株/100m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w:t>
            </w:r>
          </w:p>
        </w:tc>
        <w:tc>
          <w:tcPr>
            <w:tcW w:w="30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eastAsia" w:ascii="宋体" w:hAnsi="宋体" w:cs="宋体"/>
                <w:color w:val="auto"/>
                <w:kern w:val="0"/>
                <w:sz w:val="16"/>
                <w:szCs w:val="16"/>
              </w:rPr>
            </w:pPr>
            <w:r>
              <w:rPr>
                <w:rFonts w:hint="eastAsia" w:ascii="宋体" w:hAnsi="宋体" w:cs="宋体"/>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99" w:hRule="atLeast"/>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4.1.11</w:t>
            </w:r>
          </w:p>
        </w:tc>
        <w:tc>
          <w:tcPr>
            <w:tcW w:w="3998" w:type="dxa"/>
            <w:gridSpan w:val="3"/>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生活垃圾应分类收集，垃圾容器和收集点的设置应合理并应与周围景观协调。</w:t>
            </w:r>
          </w:p>
        </w:tc>
        <w:tc>
          <w:tcPr>
            <w:tcW w:w="30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6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4.1.12</w:t>
            </w:r>
          </w:p>
        </w:tc>
        <w:tc>
          <w:tcPr>
            <w:tcW w:w="3998" w:type="dxa"/>
            <w:gridSpan w:val="3"/>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建筑布局和场地设计时应根据室外噪声模拟预测分析结果，对总平面布局、建筑功能分区或声屏障布置等方面进行优化设计，临近交通干线一侧的区域应至少满足表4.1.12中4类的声环境要求。</w:t>
            </w:r>
          </w:p>
        </w:tc>
        <w:tc>
          <w:tcPr>
            <w:tcW w:w="30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rPr>
                <w:rFonts w:hint="eastAsia" w:ascii="宋体" w:hAnsi="宋体" w:cs="宋体"/>
                <w:color w:val="auto"/>
                <w:sz w:val="16"/>
                <w:szCs w:val="16"/>
                <w:lang w:val="en-US" w:eastAsia="zh-CN"/>
              </w:rPr>
            </w:pPr>
            <w:r>
              <w:rPr>
                <w:rFonts w:hint="eastAsia" w:ascii="宋体" w:hAnsi="宋体" w:cs="宋体"/>
                <w:color w:val="auto"/>
                <w:kern w:val="0"/>
                <w:sz w:val="16"/>
                <w:szCs w:val="16"/>
              </w:rPr>
              <w:t>□环境噪声分析报告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2" w:hRule="atLeast"/>
        </w:trPr>
        <w:tc>
          <w:tcPr>
            <w:tcW w:w="6111" w:type="dxa"/>
            <w:gridSpan w:val="6"/>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52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37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398"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不适用分</w:t>
            </w:r>
          </w:p>
        </w:tc>
        <w:tc>
          <w:tcPr>
            <w:tcW w:w="1311"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5" w:hRule="atLeast"/>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w:t>
            </w:r>
          </w:p>
        </w:tc>
        <w:tc>
          <w:tcPr>
            <w:tcW w:w="352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应提高场地空间的利用效率（设计分值为12分）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对于住宅建筑，根据其所在居住街坊人均住宅用地指标应符合表4.2.1-1的要求。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对于</w:t>
            </w:r>
            <w:r>
              <w:rPr>
                <w:rFonts w:hint="eastAsia" w:cs="Times New Roman"/>
                <w:i w:val="0"/>
                <w:iCs w:val="0"/>
                <w:color w:val="000000"/>
                <w:kern w:val="0"/>
                <w:sz w:val="16"/>
                <w:szCs w:val="16"/>
                <w:u w:val="none"/>
                <w:lang w:val="en-US" w:eastAsia="zh-CN" w:bidi="ar"/>
              </w:rPr>
              <w:t>公共</w:t>
            </w:r>
            <w:r>
              <w:rPr>
                <w:rFonts w:hint="default" w:ascii="Times New Roman" w:hAnsi="Times New Roman" w:eastAsia="宋体" w:cs="Times New Roman"/>
                <w:i w:val="0"/>
                <w:iCs w:val="0"/>
                <w:color w:val="000000"/>
                <w:kern w:val="0"/>
                <w:sz w:val="16"/>
                <w:szCs w:val="16"/>
                <w:u w:val="none"/>
                <w:lang w:val="en-US" w:eastAsia="zh-CN" w:bidi="ar"/>
              </w:rPr>
              <w:t>建筑，根据不同功能建筑的容积率（</w:t>
            </w:r>
            <w:r>
              <w:rPr>
                <w:rFonts w:hint="default" w:ascii="Times New Roman" w:hAnsi="Times New Roman" w:eastAsia="宋体" w:cs="Times New Roman"/>
                <w:i/>
                <w:iCs/>
                <w:color w:val="000000"/>
                <w:kern w:val="0"/>
                <w:sz w:val="16"/>
                <w:szCs w:val="16"/>
                <w:u w:val="none"/>
                <w:lang w:val="en-US" w:eastAsia="zh-CN" w:bidi="ar"/>
              </w:rPr>
              <w:t>R</w:t>
            </w:r>
            <w:r>
              <w:rPr>
                <w:rFonts w:hint="default" w:ascii="Times New Roman" w:hAnsi="Times New Roman" w:eastAsia="宋体" w:cs="Times New Roman"/>
                <w:i w:val="0"/>
                <w:iCs w:val="0"/>
                <w:color w:val="000000"/>
                <w:kern w:val="0"/>
                <w:sz w:val="16"/>
                <w:szCs w:val="16"/>
                <w:u w:val="none"/>
                <w:lang w:val="en-US" w:eastAsia="zh-CN" w:bidi="ar"/>
              </w:rPr>
              <w:t>）应符合表4.2.1-2的要求。</w:t>
            </w:r>
          </w:p>
        </w:tc>
        <w:tc>
          <w:tcPr>
            <w:tcW w:w="37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98" w:type="dxa"/>
            <w:gridSpan w:val="2"/>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default" w:ascii="Times New Roman" w:hAnsi="Times New Roman" w:eastAsia="宋体" w:cs="Times New Roman"/>
                <w:i w:val="0"/>
                <w:iCs w:val="0"/>
                <w:color w:val="000000"/>
                <w:sz w:val="16"/>
                <w:szCs w:val="16"/>
                <w:u w:val="none"/>
                <w:lang w:val="en-US" w:eastAsia="zh-CN"/>
              </w:rPr>
              <w:t>人均住宅用地</w:t>
            </w:r>
            <w:r>
              <w:rPr>
                <w:rFonts w:hint="eastAsia" w:ascii="Times New Roman" w:hAnsi="Times New Roman" w:eastAsia="宋体" w:cs="Times New Roman"/>
                <w:i w:val="0"/>
                <w:iCs w:val="0"/>
                <w:color w:val="000000"/>
                <w:sz w:val="16"/>
                <w:szCs w:val="16"/>
                <w:u w:val="none"/>
                <w:lang w:val="en-US" w:eastAsia="zh-CN"/>
              </w:rPr>
              <w:t>指</w:t>
            </w:r>
            <w:r>
              <w:rPr>
                <w:rFonts w:hint="eastAsia" w:ascii="Times New Roman" w:hAnsi="Times New Roman" w:eastAsia="宋体" w:cs="Times New Roman"/>
                <w:i w:val="0"/>
                <w:iCs w:val="0"/>
                <w:color w:val="000000"/>
                <w:sz w:val="16"/>
                <w:szCs w:val="16"/>
                <w:highlight w:val="none"/>
                <w:u w:val="none"/>
                <w:lang w:val="en-US" w:eastAsia="zh-CN"/>
              </w:rPr>
              <w:t>标计算</w:t>
            </w:r>
            <w:r>
              <w:rPr>
                <w:rFonts w:hint="default" w:ascii="Times New Roman" w:hAnsi="Times New Roman" w:eastAsia="宋体" w:cs="Times New Roman"/>
                <w:i w:val="0"/>
                <w:iCs w:val="0"/>
                <w:color w:val="000000"/>
                <w:sz w:val="16"/>
                <w:szCs w:val="16"/>
                <w:highlight w:val="none"/>
                <w:u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r>
              <w:rPr>
                <w:rFonts w:hint="eastAsia" w:ascii="Times New Roman" w:hAnsi="Times New Roman" w:eastAsia="宋体" w:cs="Times New Roman"/>
                <w:i w:val="0"/>
                <w:iCs w:val="0"/>
                <w:color w:val="000000"/>
                <w:sz w:val="16"/>
                <w:szCs w:val="16"/>
                <w:u w:val="none"/>
                <w:lang w:val="en-US" w:eastAsia="zh-CN"/>
              </w:rPr>
              <w:t>：</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val="0"/>
        </w:rPr>
      </w:pPr>
      <w:r>
        <w:rPr>
          <w:rFonts w:hint="eastAsia" w:eastAsia="黑体" w:cs="黑体"/>
          <w:b w:val="0"/>
          <w:bCs w:val="0"/>
          <w:color w:val="auto"/>
          <w:sz w:val="18"/>
          <w:szCs w:val="18"/>
          <w:lang w:val="en-US" w:eastAsia="zh-CN"/>
        </w:rPr>
        <w:t>续</w:t>
      </w:r>
      <w:r>
        <w:rPr>
          <w:rFonts w:hint="default" w:ascii="Times New Roman" w:hAnsi="Times New Roman" w:eastAsia="黑体" w:cs="黑体"/>
          <w:b w:val="0"/>
          <w:bCs w:val="0"/>
          <w:color w:val="auto"/>
          <w:sz w:val="18"/>
          <w:szCs w:val="18"/>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747"/>
        <w:gridCol w:w="2889"/>
        <w:gridCol w:w="331"/>
        <w:gridCol w:w="33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71"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4.2.2</w:t>
            </w:r>
          </w:p>
        </w:tc>
        <w:tc>
          <w:tcPr>
            <w:tcW w:w="3636"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应合理开发利用地下空间，建筑地下空间设计应符合表4.2.2的要求（设计分值为6分）</w:t>
            </w:r>
            <w:r>
              <w:rPr>
                <w:rFonts w:hint="eastAsia" w:ascii="Times New Roman" w:hAnsi="Times New Roman" w:eastAsia="宋体" w:cs="Times New Roman"/>
                <w:i w:val="0"/>
                <w:iCs w:val="0"/>
                <w:color w:val="000000"/>
                <w:kern w:val="0"/>
                <w:sz w:val="16"/>
                <w:szCs w:val="16"/>
                <w:u w:val="none"/>
                <w:lang w:val="en-US" w:eastAsia="zh-CN" w:bidi="ar"/>
              </w:rPr>
              <w:t>。</w:t>
            </w:r>
          </w:p>
        </w:tc>
        <w:tc>
          <w:tcPr>
            <w:tcW w:w="33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default" w:ascii="Times New Roman" w:hAnsi="Times New Roman" w:eastAsia="宋体" w:cs="Times New Roman"/>
                <w:i w:val="0"/>
                <w:iCs w:val="0"/>
                <w:color w:val="000000"/>
                <w:sz w:val="16"/>
                <w:szCs w:val="16"/>
                <w:u w:val="none"/>
                <w:lang w:val="en-US" w:eastAsia="zh-CN"/>
              </w:rPr>
              <w:t>地下空间利用</w:t>
            </w:r>
            <w:r>
              <w:rPr>
                <w:rFonts w:hint="eastAsia" w:ascii="Times New Roman" w:hAnsi="Times New Roman" w:eastAsia="宋体" w:cs="Times New Roman"/>
                <w:i w:val="0"/>
                <w:iCs w:val="0"/>
                <w:color w:val="000000"/>
                <w:sz w:val="16"/>
                <w:szCs w:val="16"/>
                <w:u w:val="none"/>
                <w:lang w:val="en-US" w:eastAsia="zh-CN"/>
              </w:rPr>
              <w:t>计算</w:t>
            </w:r>
            <w:r>
              <w:rPr>
                <w:rFonts w:hint="default" w:ascii="Times New Roman" w:hAnsi="Times New Roman" w:eastAsia="宋体" w:cs="Times New Roman"/>
                <w:i w:val="0"/>
                <w:iCs w:val="0"/>
                <w:color w:val="000000"/>
                <w:sz w:val="16"/>
                <w:szCs w:val="16"/>
                <w:u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56"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4.2.3</w:t>
            </w:r>
          </w:p>
        </w:tc>
        <w:tc>
          <w:tcPr>
            <w:tcW w:w="3636" w:type="dxa"/>
            <w:gridSpan w:val="2"/>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应结合场地条件合理采用机械式停车设施、地下停车库或地面停车楼等方式，并应符合下列要求（设计分值为4分）：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住宅建筑地面停车位数量与住宅总套数的比率小于10%</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公共建筑地面停车占地面积与其总建设用地面积的比率小于8%。</w:t>
            </w:r>
          </w:p>
        </w:tc>
        <w:tc>
          <w:tcPr>
            <w:tcW w:w="33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90" w:hRule="atLeast"/>
        </w:trPr>
        <w:tc>
          <w:tcPr>
            <w:tcW w:w="502" w:type="dxa"/>
            <w:vMerge w:val="restart"/>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4.2.4</w:t>
            </w:r>
          </w:p>
        </w:tc>
        <w:tc>
          <w:tcPr>
            <w:tcW w:w="747" w:type="dxa"/>
            <w:vMerge w:val="restart"/>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充分利用场地空间设置绿化用地（设计分值为12分）</w:t>
            </w:r>
          </w:p>
        </w:tc>
        <w:tc>
          <w:tcPr>
            <w:tcW w:w="2889"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住宅建筑：1）绿地率达到规划指标105%及以上（8分）；2）住宅建筑所在居住街坊内人均集中绿地面积应符合表4.2.4的要求（4分）</w:t>
            </w:r>
            <w:r>
              <w:rPr>
                <w:rFonts w:hint="eastAsia" w:ascii="Times New Roman" w:hAnsi="Times New Roman" w:eastAsia="宋体" w:cs="Times New Roman"/>
                <w:i w:val="0"/>
                <w:iCs w:val="0"/>
                <w:color w:val="000000"/>
                <w:kern w:val="0"/>
                <w:sz w:val="16"/>
                <w:szCs w:val="16"/>
                <w:u w:val="none"/>
                <w:lang w:val="en-US" w:eastAsia="zh-CN" w:bidi="ar"/>
              </w:rPr>
              <w:t>。</w:t>
            </w:r>
          </w:p>
        </w:tc>
        <w:tc>
          <w:tcPr>
            <w:tcW w:w="331" w:type="dxa"/>
            <w:vMerge w:val="restart"/>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Merge w:val="restart"/>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vMerge w:val="restart"/>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yellow"/>
                <w:u w:val="none"/>
                <w:lang w:val="en-US" w:eastAsia="zh-CN"/>
              </w:rPr>
            </w:pPr>
            <w:r>
              <w:rPr>
                <w:rFonts w:hint="eastAsia" w:ascii="Times New Roman" w:hAnsi="Times New Roman" w:eastAsia="宋体" w:cs="Times New Roman"/>
                <w:i w:val="0"/>
                <w:iCs w:val="0"/>
                <w:color w:val="000000"/>
                <w:sz w:val="16"/>
                <w:szCs w:val="16"/>
                <w:u w:val="none"/>
                <w:lang w:val="en-US" w:eastAsia="zh-CN"/>
              </w:rPr>
              <w:t>□人均</w:t>
            </w:r>
            <w:r>
              <w:rPr>
                <w:rFonts w:hint="default" w:ascii="Times New Roman" w:hAnsi="Times New Roman" w:eastAsia="宋体" w:cs="Times New Roman"/>
                <w:i w:val="0"/>
                <w:iCs w:val="0"/>
                <w:color w:val="000000"/>
                <w:sz w:val="16"/>
                <w:szCs w:val="16"/>
                <w:u w:val="none"/>
                <w:lang w:val="en-US" w:eastAsia="zh-CN"/>
              </w:rPr>
              <w:t>集中</w:t>
            </w:r>
            <w:r>
              <w:rPr>
                <w:rFonts w:hint="eastAsia" w:ascii="Times New Roman" w:hAnsi="Times New Roman" w:eastAsia="宋体" w:cs="Times New Roman"/>
                <w:i w:val="0"/>
                <w:iCs w:val="0"/>
                <w:color w:val="000000"/>
                <w:sz w:val="16"/>
                <w:szCs w:val="16"/>
                <w:u w:val="none"/>
                <w:lang w:val="en-US" w:eastAsia="zh-CN"/>
              </w:rPr>
              <w:t>绿</w:t>
            </w:r>
            <w:r>
              <w:rPr>
                <w:rFonts w:hint="eastAsia" w:ascii="Times New Roman" w:hAnsi="Times New Roman" w:eastAsia="宋体" w:cs="Times New Roman"/>
                <w:i w:val="0"/>
                <w:iCs w:val="0"/>
                <w:color w:val="000000"/>
                <w:sz w:val="16"/>
                <w:szCs w:val="16"/>
                <w:highlight w:val="none"/>
                <w:u w:val="none"/>
                <w:lang w:val="en-US" w:eastAsia="zh-CN"/>
              </w:rPr>
              <w:t>地面积计算</w:t>
            </w:r>
            <w:r>
              <w:rPr>
                <w:rFonts w:hint="default" w:ascii="Times New Roman" w:hAnsi="Times New Roman" w:eastAsia="宋体" w:cs="Times New Roman"/>
                <w:i w:val="0"/>
                <w:iCs w:val="0"/>
                <w:color w:val="000000"/>
                <w:sz w:val="16"/>
                <w:szCs w:val="16"/>
                <w:highlight w:val="none"/>
                <w:u w:val="none"/>
                <w:lang w:val="en-US" w:eastAsia="zh-CN"/>
              </w:rPr>
              <w:t>报告</w:t>
            </w:r>
          </w:p>
          <w:p>
            <w:pPr>
              <w:keepNext w:val="0"/>
              <w:keepLines w:val="0"/>
              <w:pageBreakBefore w:val="0"/>
              <w:widowControl/>
              <w:kinsoku/>
              <w:wordWrap/>
              <w:overflowPunct/>
              <w:topLinePunct w:val="0"/>
              <w:autoSpaceDE/>
              <w:autoSpaceDN/>
              <w:bidi w:val="0"/>
              <w:adjustRightInd/>
              <w:snapToGrid/>
              <w:spacing w:line="200" w:lineRule="exact"/>
              <w:jc w:val="both"/>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50" w:hRule="atLeast"/>
        </w:trPr>
        <w:tc>
          <w:tcPr>
            <w:tcW w:w="502" w:type="dxa"/>
            <w:vMerge w:val="continue"/>
            <w:tcBorders>
              <w:lef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747" w:type="dxa"/>
            <w:vMerge w:val="continue"/>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288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公共建筑：1）绿地率达到规划指标105%及以上（8分）；2）绿地向公众开放（4分）。</w:t>
            </w:r>
          </w:p>
        </w:tc>
        <w:tc>
          <w:tcPr>
            <w:tcW w:w="331" w:type="dxa"/>
            <w:vMerge w:val="continue"/>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331" w:type="dxa"/>
            <w:vMerge w:val="continue"/>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vMerge w:val="continue"/>
            <w:tcBorders>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both"/>
              <w:rPr>
                <w:rFonts w:hint="default" w:ascii="Times New Roman" w:hAnsi="Times New Roman" w:eastAsia="宋体" w:cs="Times New Roman"/>
                <w:i w:val="0"/>
                <w:iCs w:val="0"/>
                <w:color w:val="000000"/>
                <w:sz w:val="16"/>
                <w:szCs w:val="16"/>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99"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4.2.5</w:t>
            </w:r>
          </w:p>
        </w:tc>
        <w:tc>
          <w:tcPr>
            <w:tcW w:w="363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应结合建筑总平面布局，利用场地或景观形成可降低坠物风险的缓冲区、隔离带（设计分值为5分）</w:t>
            </w:r>
            <w:r>
              <w:rPr>
                <w:rFonts w:hint="eastAsia" w:ascii="Times New Roman" w:hAnsi="Times New Roman" w:eastAsia="宋体" w:cs="Times New Roman"/>
                <w:i w:val="0"/>
                <w:iCs w:val="0"/>
                <w:color w:val="000000"/>
                <w:kern w:val="0"/>
                <w:sz w:val="16"/>
                <w:szCs w:val="16"/>
                <w:u w:val="none"/>
                <w:lang w:val="en-US" w:eastAsia="zh-CN" w:bidi="ar"/>
              </w:rPr>
              <w:t>。</w:t>
            </w: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宋体" w:hAnsi="宋体" w:cs="宋体"/>
                <w:color w:val="auto"/>
                <w:kern w:val="0"/>
                <w:sz w:val="16"/>
                <w:szCs w:val="16"/>
              </w:rPr>
            </w:pPr>
            <w:r>
              <w:rPr>
                <w:rFonts w:hint="eastAsia" w:ascii="宋体" w:hAnsi="宋体" w:cs="宋体"/>
                <w:color w:val="auto"/>
                <w:kern w:val="0"/>
                <w:sz w:val="16"/>
                <w:szCs w:val="16"/>
              </w:rPr>
              <w:t>□详景观施工图：</w:t>
            </w:r>
          </w:p>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00" w:hRule="atLeast"/>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4.2.6</w:t>
            </w:r>
          </w:p>
        </w:tc>
        <w:tc>
          <w:tcPr>
            <w:tcW w:w="3636" w:type="dxa"/>
            <w:gridSpan w:val="2"/>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室外地面或路面应设置防滑措施，并应符合下列要求（设计分值为5分）：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建筑出入口及平台防滑等级达到现行行业标准《建筑地面工程防滑技术规程》JGJ/T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B</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建筑室外活动场所采用防滑地面，防滑等级达到现行行业标准《建筑地面工程防滑技术规程》JGJ/T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建筑室外坡道、室外楼梯踏步防滑等级达到现行行业标准《建筑地面工程防滑技术规程》JGJ/T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级或按水平地面等级提高一级，并采用防滑构造技术措施（2分）。</w:t>
            </w:r>
          </w:p>
        </w:tc>
        <w:tc>
          <w:tcPr>
            <w:tcW w:w="33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val="0"/>
        </w:rPr>
      </w:pPr>
      <w:r>
        <w:rPr>
          <w:rFonts w:hint="eastAsia" w:eastAsia="黑体" w:cs="黑体"/>
          <w:b w:val="0"/>
          <w:bCs w:val="0"/>
          <w:color w:val="auto"/>
          <w:sz w:val="18"/>
          <w:szCs w:val="18"/>
          <w:lang w:val="en-US" w:eastAsia="zh-CN"/>
        </w:rPr>
        <w:t>续</w:t>
      </w:r>
      <w:r>
        <w:rPr>
          <w:rFonts w:hint="default" w:ascii="Times New Roman" w:hAnsi="Times New Roman" w:eastAsia="黑体" w:cs="黑体"/>
          <w:b w:val="0"/>
          <w:bCs w:val="0"/>
          <w:color w:val="auto"/>
          <w:sz w:val="18"/>
          <w:szCs w:val="18"/>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747"/>
        <w:gridCol w:w="2889"/>
        <w:gridCol w:w="331"/>
        <w:gridCol w:w="33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2" w:hRule="atLeast"/>
        </w:trPr>
        <w:tc>
          <w:tcPr>
            <w:tcW w:w="502" w:type="dxa"/>
            <w:tcBorders>
              <w:top w:val="single" w:color="auto" w:sz="12" w:space="0"/>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4.2.7</w:t>
            </w:r>
          </w:p>
        </w:tc>
        <w:tc>
          <w:tcPr>
            <w:tcW w:w="3636" w:type="dxa"/>
            <w:gridSpan w:val="2"/>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建筑场地应采用人车分流设计，并应明确建筑场地内的行人流线及机动车车流线（设计分值为4分）</w:t>
            </w:r>
          </w:p>
        </w:tc>
        <w:tc>
          <w:tcPr>
            <w:tcW w:w="331"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12"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12" w:space="0"/>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221" w:hRule="atLeast"/>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4.2.8</w:t>
            </w:r>
          </w:p>
        </w:tc>
        <w:tc>
          <w:tcPr>
            <w:tcW w:w="3636" w:type="dxa"/>
            <w:gridSpan w:val="2"/>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场地与公共交通站点联系应便捷，且应符合下列要求（设计分值为8分）：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场地出入口到达公共交通站点的步行距离不超过500m，或到达轨道交通站的步行距离不大于800m（2分）；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场地出入口到达公共交通站点的步行距离不超过300m，或到达轨道交通站的步行距离不大于500m（2分）；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场地出入口步行距离800m范围内设有不少于2条线路的公共交通站点（4分）。</w:t>
            </w:r>
          </w:p>
        </w:tc>
        <w:tc>
          <w:tcPr>
            <w:tcW w:w="33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□公共交通设施分析报告</w:t>
            </w:r>
          </w:p>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81" w:hRule="atLeast"/>
        </w:trPr>
        <w:tc>
          <w:tcPr>
            <w:tcW w:w="502" w:type="dxa"/>
            <w:vMerge w:val="restart"/>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4.2.9</w:t>
            </w:r>
          </w:p>
        </w:tc>
        <w:tc>
          <w:tcPr>
            <w:tcW w:w="747" w:type="dxa"/>
            <w:vMerge w:val="restart"/>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应设有便利的公共服务（设计分值为6分）</w:t>
            </w:r>
          </w:p>
        </w:tc>
        <w:tc>
          <w:tcPr>
            <w:tcW w:w="2889"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住宅建筑，满足下列要求中的4项（3分）；满足6项及以上（6分）。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1）场地出入口到达幼儿园的步行距离不大于300m；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2）场地出入口到达小学的步行距离不大于500m；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3）场地出入口到达中学的步行距离不大于1000m；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4）场地出入口到达医院的步行距离不大于1000m；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5）场地出入口到达群众文化活动设施的步行距离不大于800m；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6）场地出入口到达老年人日间照料设施的步行距离不大于500m；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7）场地周边500m范围内具有不少于3种商业服务设施。</w:t>
            </w:r>
          </w:p>
        </w:tc>
        <w:tc>
          <w:tcPr>
            <w:tcW w:w="331" w:type="dxa"/>
            <w:vMerge w:val="restart"/>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Merge w:val="restart"/>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vMerge w:val="restart"/>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□公共服务设施分析报告</w:t>
            </w:r>
          </w:p>
          <w:p>
            <w:pPr>
              <w:keepNext w:val="0"/>
              <w:keepLines w:val="0"/>
              <w:pageBreakBefore w:val="0"/>
              <w:widowControl/>
              <w:kinsoku/>
              <w:wordWrap/>
              <w:overflowPunct/>
              <w:topLinePunct w:val="0"/>
              <w:autoSpaceDE/>
              <w:autoSpaceDN/>
              <w:bidi w:val="0"/>
              <w:adjustRightInd/>
              <w:snapToGrid/>
              <w:spacing w:line="200" w:lineRule="exact"/>
              <w:jc w:val="both"/>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55" w:hRule="atLeast"/>
        </w:trPr>
        <w:tc>
          <w:tcPr>
            <w:tcW w:w="502" w:type="dxa"/>
            <w:vMerge w:val="continue"/>
            <w:tcBorders>
              <w:left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747" w:type="dxa"/>
            <w:vMerge w:val="continue"/>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288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公共建筑，满足下列要求中的3项（3分）；满足4项（6分）。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1）建筑内至少兼容2种面向社会的公共服务功能；</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2）建筑向社会公众提供开放的公共活动空间；</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3）周边500m范围内设有社会公共停车场（库）；</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4）场地不封闭或场地内步行公共通道向社会开放。</w:t>
            </w:r>
          </w:p>
        </w:tc>
        <w:tc>
          <w:tcPr>
            <w:tcW w:w="331" w:type="dxa"/>
            <w:vMerge w:val="continue"/>
            <w:tcBorders>
              <w:top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331" w:type="dxa"/>
            <w:vMerge w:val="continue"/>
            <w:tcBorders>
              <w:top w:val="single" w:color="auto" w:sz="1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vMerge w:val="continue"/>
            <w:tcBorders>
              <w:top w:val="single" w:color="auto" w:sz="12" w:space="0"/>
              <w:bottom w:val="single" w:color="auto" w:sz="12" w:space="0"/>
              <w:right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both"/>
              <w:rPr>
                <w:rFonts w:hint="default" w:ascii="Times New Roman" w:hAnsi="Times New Roman" w:eastAsia="宋体" w:cs="Times New Roman"/>
                <w:i w:val="0"/>
                <w:iCs w:val="0"/>
                <w:color w:val="000000"/>
                <w:sz w:val="16"/>
                <w:szCs w:val="16"/>
                <w:u w:val="none"/>
              </w:rPr>
            </w:pP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b w:val="0"/>
          <w:bCs w:val="0"/>
        </w:rPr>
      </w:pPr>
      <w:r>
        <w:rPr>
          <w:rFonts w:hint="eastAsia" w:eastAsia="黑体" w:cs="黑体"/>
          <w:b w:val="0"/>
          <w:bCs w:val="0"/>
          <w:color w:val="auto"/>
          <w:sz w:val="18"/>
          <w:szCs w:val="18"/>
          <w:lang w:val="en-US" w:eastAsia="zh-CN"/>
        </w:rPr>
        <w:t>续</w:t>
      </w:r>
      <w:r>
        <w:rPr>
          <w:rFonts w:hint="default" w:ascii="Times New Roman" w:hAnsi="Times New Roman" w:eastAsia="黑体" w:cs="黑体"/>
          <w:b w:val="0"/>
          <w:bCs w:val="0"/>
          <w:color w:val="auto"/>
          <w:sz w:val="18"/>
          <w:szCs w:val="18"/>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636"/>
        <w:gridCol w:w="331"/>
        <w:gridCol w:w="33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36"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4.2.10</w:t>
            </w:r>
          </w:p>
        </w:tc>
        <w:tc>
          <w:tcPr>
            <w:tcW w:w="363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城市绿地、广场及公共运动场地等开敞空间应步行可达，并应符合下列要求（设计分值为5分）：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场地出入口到达城市公园绿地、居住区公园、广场的步行距离不大于300m（3分）；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到达中型多功能运动场地的步行距离不大于500m（2分）。</w:t>
            </w:r>
          </w:p>
        </w:tc>
        <w:tc>
          <w:tcPr>
            <w:tcW w:w="33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2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4.2.11</w:t>
            </w:r>
          </w:p>
        </w:tc>
        <w:tc>
          <w:tcPr>
            <w:tcW w:w="363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应合理设置健身场地和空间，并应符合下列要求（设计分值为5分）：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室外健身场地面积不少于总用地面积的0.5%（3分）；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设置宽度不少于1.25m的专用健身慢行道，健身慢行道长度不少于用地红线周长的1/4且不少于100m（2分）。</w:t>
            </w: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87"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4.2.12</w:t>
            </w:r>
          </w:p>
        </w:tc>
        <w:tc>
          <w:tcPr>
            <w:tcW w:w="363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室外吸烟区位置布局应合理，并应符合下列要求（设计分值为6分）：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室外吸烟区布置在建筑主出入口的主导风的下风向，与所有建筑出入口、新风进气口和可开启窗扇的距离不少于8m，且距离儿童和老人活动场地不少于8m（3分）；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室外吸烟区与绿植结合布置，并合理配置座椅和带烟头收集的垃圾</w:t>
            </w:r>
            <w:r>
              <w:rPr>
                <w:rFonts w:hint="eastAsia" w:cs="Times New Roman"/>
                <w:i w:val="0"/>
                <w:iCs w:val="0"/>
                <w:color w:val="000000"/>
                <w:kern w:val="0"/>
                <w:sz w:val="16"/>
                <w:szCs w:val="16"/>
                <w:u w:val="none"/>
                <w:lang w:val="en-US" w:eastAsia="zh-CN" w:bidi="ar"/>
              </w:rPr>
              <w:t>桶</w:t>
            </w:r>
            <w:r>
              <w:rPr>
                <w:rFonts w:hint="default" w:ascii="Times New Roman" w:hAnsi="Times New Roman" w:eastAsia="宋体" w:cs="Times New Roman"/>
                <w:i w:val="0"/>
                <w:iCs w:val="0"/>
                <w:color w:val="000000"/>
                <w:kern w:val="0"/>
                <w:sz w:val="16"/>
                <w:szCs w:val="16"/>
                <w:u w:val="none"/>
                <w:lang w:val="en-US" w:eastAsia="zh-CN" w:bidi="ar"/>
              </w:rPr>
              <w:t>，从建筑主出入口至室外吸烟区的导向标识完整、定位标识醒目，吸烟区设置吸烟有害健康的警示标识（3分）。</w:t>
            </w: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65"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4.2.13</w:t>
            </w:r>
          </w:p>
        </w:tc>
        <w:tc>
          <w:tcPr>
            <w:tcW w:w="363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场地硬质铺装地面中透水铺装面积的比例应不小于50%（</w:t>
            </w:r>
            <w:r>
              <w:rPr>
                <w:rFonts w:hint="eastAsia" w:cs="Times New Roman"/>
                <w:i w:val="0"/>
                <w:iCs w:val="0"/>
                <w:color w:val="000000"/>
                <w:kern w:val="0"/>
                <w:sz w:val="16"/>
                <w:szCs w:val="16"/>
                <w:u w:val="none"/>
                <w:lang w:val="en-US" w:eastAsia="zh-CN" w:bidi="ar"/>
              </w:rPr>
              <w:t>设计分值为</w:t>
            </w:r>
            <w:r>
              <w:rPr>
                <w:rFonts w:hint="default" w:ascii="Times New Roman" w:hAnsi="Times New Roman" w:eastAsia="宋体" w:cs="Times New Roman"/>
                <w:i w:val="0"/>
                <w:iCs w:val="0"/>
                <w:color w:val="000000"/>
                <w:kern w:val="0"/>
                <w:sz w:val="16"/>
                <w:szCs w:val="16"/>
                <w:u w:val="none"/>
                <w:lang w:val="en-US" w:eastAsia="zh-CN" w:bidi="ar"/>
              </w:rPr>
              <w:t>3分）。</w:t>
            </w:r>
          </w:p>
        </w:tc>
        <w:tc>
          <w:tcPr>
            <w:tcW w:w="33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□透水铺装面积比例计算报告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56" w:hRule="atLeast"/>
        </w:trPr>
        <w:tc>
          <w:tcPr>
            <w:tcW w:w="50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4.2.14</w:t>
            </w:r>
          </w:p>
        </w:tc>
        <w:tc>
          <w:tcPr>
            <w:tcW w:w="3636"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建筑布局和场地设计时应根据室外噪声模拟预测分析结果，对总平面布局、建筑功能分区、声屏障布置等方面进行优化设计，并应符合下列要求（设计分值为8分）：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环境噪声值大于2类声环境功能区标准限值，且小于或等于3类声环境功能区标准限值（4分）；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环境噪声值小于或等于2类声环境功能区标准限值（8分）。</w:t>
            </w:r>
          </w:p>
        </w:tc>
        <w:tc>
          <w:tcPr>
            <w:tcW w:w="33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□环境噪声分析报告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636"/>
        <w:gridCol w:w="331"/>
        <w:gridCol w:w="33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12"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4.2.15</w:t>
            </w:r>
          </w:p>
        </w:tc>
        <w:tc>
          <w:tcPr>
            <w:tcW w:w="363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建筑布局和场地设计时应根据典型气象条件下的风环境模拟预测分析结果，采取合理措施加强夏季和过渡季节自然通风，避免冬季冷风侵袭，并应符合下列要求（设计分值为6分）：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在冬季典型风速和风向条件下应符合下列要求：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1）建筑物周围人行区距地高1.5m处风速小于5m/s，户外休息区、儿童娱乐区风速小于2m/s，且室外风速放大系数小于2（1分）；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2）除迎风第一排建筑外，建筑迎风面与背风面表面风压差不大于5Pa（1分）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过渡季、夏季典型风速和风向条件下应符合下列要求：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1）场地内人活动区不出现涡旋或无风区（3分）；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  2）50%以上可开启外窗室内外表面的风压差大于0.5Pa（1分）。</w:t>
            </w:r>
          </w:p>
        </w:tc>
        <w:tc>
          <w:tcPr>
            <w:tcW w:w="33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□建筑室外自然通风分析报告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00"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4.2.16</w:t>
            </w:r>
          </w:p>
        </w:tc>
        <w:tc>
          <w:tcPr>
            <w:tcW w:w="363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应采取措施降低热岛强度，场地内平均热岛强度模拟预测值不大于1.5℃，并应符合下列要求（设计分值为10分）：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场地中处于建筑阴影区外的步道、游</w:t>
            </w:r>
            <w:r>
              <w:rPr>
                <w:rFonts w:hint="eastAsia" w:ascii="Times New Roman" w:hAnsi="Times New Roman" w:eastAsia="宋体" w:cs="Times New Roman"/>
                <w:i w:val="0"/>
                <w:iCs w:val="0"/>
                <w:color w:val="000000"/>
                <w:kern w:val="0"/>
                <w:sz w:val="16"/>
                <w:szCs w:val="16"/>
                <w:u w:val="none"/>
                <w:lang w:val="en-US" w:eastAsia="zh-CN" w:bidi="ar"/>
              </w:rPr>
              <w:t>憩</w:t>
            </w:r>
            <w:r>
              <w:rPr>
                <w:rFonts w:hint="default" w:ascii="Times New Roman" w:hAnsi="Times New Roman" w:eastAsia="宋体" w:cs="Times New Roman"/>
                <w:i w:val="0"/>
                <w:iCs w:val="0"/>
                <w:color w:val="000000"/>
                <w:kern w:val="0"/>
                <w:sz w:val="16"/>
                <w:szCs w:val="16"/>
                <w:u w:val="none"/>
                <w:lang w:val="en-US" w:eastAsia="zh-CN" w:bidi="ar"/>
              </w:rPr>
              <w:t>场、庭院、广场等室外活动场地设有乔木、花架等遮阴措施的面积比例，住宅建筑达到30%，公共建筑达到10%（2分）；住宅建筑达到50%，公共建筑达到20%（3分）；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场地中处于建筑阴影区外的机动车道，路面太阳辐射反射系数不小于0.4或设有遮阴面积较大的行道树的路段长度超过70%（3分）；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屋顶的绿化面积、太阳能板水平投影面积以及太阳辐射反射系数不小于0.4的屋面面积合计达到75%（4分）。</w:t>
            </w: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pPr>
            <w:r>
              <w:rPr>
                <w:rFonts w:hint="eastAsia" w:ascii="宋体" w:hAnsi="宋体" w:cs="宋体"/>
                <w:color w:val="auto"/>
                <w:kern w:val="0"/>
                <w:sz w:val="16"/>
                <w:szCs w:val="16"/>
              </w:rPr>
              <w:t>□</w:t>
            </w:r>
            <w:r>
              <w:rPr>
                <w:rFonts w:hint="eastAsia" w:ascii="宋体" w:hAnsi="宋体" w:cs="宋体"/>
                <w:color w:val="auto"/>
                <w:kern w:val="0"/>
                <w:sz w:val="16"/>
                <w:szCs w:val="16"/>
                <w:lang w:val="en-US" w:eastAsia="zh-CN"/>
              </w:rPr>
              <w:t>场地热环境</w:t>
            </w:r>
            <w:r>
              <w:rPr>
                <w:rFonts w:hint="eastAsia" w:ascii="宋体" w:hAnsi="宋体" w:cs="宋体"/>
                <w:color w:val="auto"/>
                <w:kern w:val="0"/>
                <w:sz w:val="16"/>
                <w:szCs w:val="16"/>
                <w:highlight w:val="none"/>
                <w:lang w:val="en-US" w:eastAsia="zh-CN"/>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宋体" w:hAnsi="宋体" w:eastAsia="宋体" w:cs="宋体"/>
                <w:color w:val="auto"/>
                <w:kern w:val="0"/>
                <w:sz w:val="16"/>
                <w:szCs w:val="16"/>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4.2.17</w:t>
            </w:r>
          </w:p>
        </w:tc>
        <w:tc>
          <w:tcPr>
            <w:tcW w:w="363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当住宅建筑户型有4个或4个以上居住空间时，宜有2个或2个以上居住空间满足日照标准的要求（设计分值为2分）。</w:t>
            </w:r>
          </w:p>
        </w:tc>
        <w:tc>
          <w:tcPr>
            <w:tcW w:w="33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□建筑日照分析报告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35" w:hRule="atLeast"/>
        </w:trPr>
        <w:tc>
          <w:tcPr>
            <w:tcW w:w="4138" w:type="dxa"/>
            <w:gridSpan w:val="2"/>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25" o:spt="75" type="#_x0000_t75" style="height:15.6pt;width:13pt;" o:ole="t" filled="f" o:preferrelative="t" stroked="f" coordsize="21600,21600">
                  <v:path/>
                  <v:fill on="f" focussize="0,0"/>
                  <v:stroke on="f"/>
                  <v:imagedata r:id="rId12" o:title=""/>
                  <o:lock v:ext="edit" aspectratio="t"/>
                  <w10:wrap type="none"/>
                  <w10:anchorlock/>
                </v:shape>
                <o:OLEObject Type="Embed" ProgID="Equation.KSEE3" ShapeID="_x0000_i1025" DrawAspect="Content" ObjectID="_1468075725" r:id="rId11">
                  <o:LockedField>false</o:LockedField>
                </o:OLEObject>
              </w:object>
            </w:r>
          </w:p>
        </w:tc>
        <w:tc>
          <w:tcPr>
            <w:tcW w:w="33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33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11" w:type="dxa"/>
            <w:tcBorders>
              <w:top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16" w:hRule="atLeast"/>
        </w:trPr>
        <w:tc>
          <w:tcPr>
            <w:tcW w:w="413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26"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26" DrawAspect="Content" ObjectID="_1468075726" r:id="rId13">
                  <o:LockedField>false</o:LockedField>
                </o:OLEObject>
              </w:object>
            </w: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33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311"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413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27"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27" DrawAspect="Content" ObjectID="_1468075727" r:id="rId15">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28" o:spt="75" type="#_x0000_t75" style="height:15.9pt;width:17.9pt;" o:ole="t" filled="f" o:preferrelative="t" stroked="f" coordsize="21600,21600">
                  <v:path/>
                  <v:fill on="f" focussize="0,0"/>
                  <v:stroke on="f"/>
                  <v:imagedata r:id="rId18" o:title=""/>
                  <o:lock v:ext="edit" aspectratio="t"/>
                  <w10:wrap type="none"/>
                  <w10:anchorlock/>
                </v:shape>
                <o:OLEObject Type="Embed" ProgID="Equation.KSEE3" ShapeID="_x0000_i1028" DrawAspect="Content" ObjectID="_1468075728" r:id="rId17">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取107）</w:t>
            </w:r>
          </w:p>
        </w:tc>
        <w:tc>
          <w:tcPr>
            <w:tcW w:w="33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33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11"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5"/>
            <w:tcBorders>
              <w:left w:val="single" w:color="auto" w:sz="12"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表C-2</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632"/>
        <w:gridCol w:w="4"/>
        <w:gridCol w:w="446"/>
        <w:gridCol w:w="15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9"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636"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1527"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31"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4.3.1</w:t>
            </w:r>
          </w:p>
        </w:tc>
        <w:tc>
          <w:tcPr>
            <w:tcW w:w="363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当场地为废弃地，需要进行场地再生利用时，采取改造或改良后的场地应满足项目建设要求（设计分值为2分）。</w:t>
            </w:r>
          </w:p>
        </w:tc>
        <w:tc>
          <w:tcPr>
            <w:tcW w:w="446"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2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□环评文件</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□场地再生利用评估报告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4.3.2</w:t>
            </w:r>
          </w:p>
        </w:tc>
        <w:tc>
          <w:tcPr>
            <w:tcW w:w="363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新建绿化、水系宜与周边原有绿化带、水系形成绿化系统（设计分值为3分）。</w:t>
            </w:r>
          </w:p>
        </w:tc>
        <w:tc>
          <w:tcPr>
            <w:tcW w:w="446"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2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rPr>
                <w:rFonts w:hint="eastAsia" w:ascii="宋体" w:hAnsi="宋体" w:eastAsia="宋体" w:cs="宋体"/>
                <w:color w:val="auto"/>
                <w:kern w:val="0"/>
                <w:sz w:val="16"/>
                <w:szCs w:val="16"/>
                <w:lang w:eastAsia="zh-CN"/>
              </w:rPr>
            </w:pPr>
            <w:r>
              <w:rPr>
                <w:rFonts w:hint="eastAsia" w:ascii="宋体" w:hAnsi="宋体" w:cs="宋体"/>
                <w:color w:val="auto"/>
                <w:kern w:val="0"/>
                <w:sz w:val="16"/>
                <w:szCs w:val="16"/>
              </w:rPr>
              <w:t>□详景观施工图</w:t>
            </w:r>
            <w:r>
              <w:rPr>
                <w:rFonts w:hint="eastAsia" w:ascii="宋体" w:hAnsi="宋体" w:cs="宋体"/>
                <w:color w:val="auto"/>
                <w:kern w:val="0"/>
                <w:sz w:val="16"/>
                <w:szCs w:val="16"/>
                <w:lang w:eastAsia="zh-CN"/>
              </w:rPr>
              <w:t>：</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7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4.3.3</w:t>
            </w:r>
          </w:p>
        </w:tc>
        <w:tc>
          <w:tcPr>
            <w:tcW w:w="363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场地宜设置避雨防晒的走廊、雨棚等设施，并应符合下列要求：（设计分值为2分）：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场地内主要建筑之间应由避雨防晒的走廊、雨棚连通（1分）；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场地内所有建筑之间应由避雨防晒的走廊、雨棚连通，且所有建筑的主要出入口至用地红线主要出入口应由避雨防晒的走廊、雨棚连通（2分）。</w:t>
            </w:r>
          </w:p>
        </w:tc>
        <w:tc>
          <w:tcPr>
            <w:tcW w:w="450" w:type="dxa"/>
            <w:gridSpan w:val="2"/>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2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67"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4.3.4</w:t>
            </w:r>
          </w:p>
        </w:tc>
        <w:tc>
          <w:tcPr>
            <w:tcW w:w="363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宜利用建筑底层架空或骑楼等形式优化通风、防潮等设计，且通风架空率不低于10%（设计分值为3分）。</w:t>
            </w:r>
          </w:p>
        </w:tc>
        <w:tc>
          <w:tcPr>
            <w:tcW w:w="450" w:type="dxa"/>
            <w:gridSpan w:val="2"/>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27"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宋体" w:hAnsi="宋体" w:cs="宋体"/>
                <w:color w:val="auto"/>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ascii="宋体" w:hAnsi="宋体" w:cs="宋体"/>
                <w:color w:val="auto"/>
                <w:sz w:val="16"/>
                <w:szCs w:val="16"/>
                <w:lang w:eastAsia="zh-CN"/>
              </w:rPr>
              <w:t>详建筑施工图：</w:t>
            </w:r>
          </w:p>
          <w:p>
            <w:pPr>
              <w:keepNext w:val="0"/>
              <w:keepLines w:val="0"/>
              <w:pageBreakBefore w:val="0"/>
              <w:kinsoku/>
              <w:wordWrap/>
              <w:overflowPunct/>
              <w:topLinePunct w:val="0"/>
              <w:bidi w:val="0"/>
              <w:spacing w:line="200" w:lineRule="exact"/>
              <w:rPr>
                <w:rFonts w:hint="default" w:ascii="宋体" w:hAnsi="宋体" w:eastAsia="宋体" w:cs="宋体"/>
                <w:color w:val="auto"/>
                <w:kern w:val="0"/>
                <w:sz w:val="16"/>
                <w:szCs w:val="16"/>
                <w:lang w:val="en-US" w:eastAsia="zh-CN"/>
              </w:rPr>
            </w:pPr>
            <w:r>
              <w:rPr>
                <w:rFonts w:hint="eastAsia" w:ascii="宋体" w:hAnsi="宋体" w:cs="宋体"/>
                <w:color w:val="auto"/>
                <w:kern w:val="0"/>
                <w:sz w:val="16"/>
                <w:szCs w:val="16"/>
              </w:rPr>
              <w:t>□建筑通风架空率</w:t>
            </w:r>
            <w:r>
              <w:rPr>
                <w:rFonts w:hint="eastAsia" w:ascii="宋体" w:hAnsi="宋体" w:eastAsia="宋体" w:cs="宋体"/>
                <w:color w:val="auto"/>
                <w:kern w:val="0"/>
                <w:sz w:val="16"/>
                <w:szCs w:val="16"/>
                <w:highlight w:val="none"/>
                <w:lang w:val="en-US" w:eastAsia="zh-CN"/>
              </w:rPr>
              <w:t>计算</w:t>
            </w:r>
            <w:r>
              <w:rPr>
                <w:rFonts w:hint="eastAsia" w:ascii="宋体" w:hAnsi="宋体" w:cs="宋体"/>
                <w:color w:val="auto"/>
                <w:kern w:val="0"/>
                <w:sz w:val="16"/>
                <w:szCs w:val="16"/>
                <w:highlight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5" w:hRule="atLeast"/>
        </w:trPr>
        <w:tc>
          <w:tcPr>
            <w:tcW w:w="4134" w:type="dxa"/>
            <w:gridSpan w:val="2"/>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29" o:spt="75" type="#_x0000_t75" style="height:14.75pt;width:14.8pt;" o:ole="t" filled="f" o:preferrelative="t" stroked="f" coordsize="21600,21600">
                  <v:path/>
                  <v:fill on="f" focussize="0,0"/>
                  <v:stroke on="f"/>
                  <v:imagedata r:id="rId20" o:title=""/>
                  <o:lock v:ext="edit" aspectratio="t"/>
                  <w10:wrap type="none"/>
                  <w10:anchorlock/>
                </v:shape>
                <o:OLEObject Type="Embed" ProgID="Equation.KSEE3" ShapeID="_x0000_i1029" DrawAspect="Content" ObjectID="_1468075729" r:id="rId19">
                  <o:LockedField>false</o:LockedField>
                </o:OLEObject>
              </w:object>
            </w:r>
          </w:p>
        </w:tc>
        <w:tc>
          <w:tcPr>
            <w:tcW w:w="450" w:type="dxa"/>
            <w:gridSpan w:val="2"/>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527" w:type="dxa"/>
            <w:tcBorders>
              <w:top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5" w:hRule="atLeast"/>
        </w:trPr>
        <w:tc>
          <w:tcPr>
            <w:tcW w:w="4134"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lang w:val="en-US" w:eastAsia="zh-CN"/>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30" o:spt="75" type="#_x0000_t75" style="height:25.45pt;width:85.05pt;" o:ole="t" filled="f" o:preferrelative="t" stroked="f" coordsize="21600,21600">
                  <v:path/>
                  <v:fill on="f" focussize="0,0"/>
                  <v:stroke on="f"/>
                  <v:imagedata r:id="rId22" o:title=""/>
                  <o:lock v:ext="edit" aspectratio="t"/>
                  <w10:wrap type="none"/>
                  <w10:anchorlock/>
                </v:shape>
                <o:OLEObject Type="Embed" ProgID="Equation.KSEE3" ShapeID="_x0000_i1030" DrawAspect="Content" ObjectID="_1468075730" r:id="rId21">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31" o:spt="75" type="#_x0000_t75" style="height:15.6pt;width:13.05pt;" o:ole="t" filled="f" o:preferrelative="t" stroked="f" coordsize="21600,21600">
                  <v:path/>
                  <v:fill on="f" focussize="0,0"/>
                  <v:stroke on="f"/>
                  <v:imagedata r:id="rId24" o:title=""/>
                  <o:lock v:ext="edit" aspectratio="t"/>
                  <w10:wrap type="none"/>
                  <w10:anchorlock/>
                </v:shape>
                <o:OLEObject Type="Embed" ProgID="Equation.KSEE3" ShapeID="_x0000_i1031" DrawAspect="Content" ObjectID="_1468075731" r:id="rId23">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50" w:type="dxa"/>
            <w:gridSpan w:val="2"/>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527"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4" w:hRule="atLeast"/>
        </w:trPr>
        <w:tc>
          <w:tcPr>
            <w:tcW w:w="4134"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1977" w:type="dxa"/>
            <w:gridSpan w:val="3"/>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本表由建筑专业填写，并</w:t>
      </w:r>
      <w:r>
        <w:rPr>
          <w:rFonts w:hint="eastAsia" w:ascii="Times New Roman" w:hAnsi="Times New Roman" w:eastAsia="宋体" w:cs="Times New Roman"/>
          <w:i w:val="0"/>
          <w:iCs w:val="0"/>
          <w:color w:val="000000"/>
          <w:kern w:val="0"/>
          <w:sz w:val="15"/>
          <w:szCs w:val="15"/>
          <w:u w:val="none"/>
          <w:lang w:val="en-US" w:eastAsia="zh-CN" w:bidi="ar"/>
        </w:rPr>
        <w:t>编</w:t>
      </w:r>
      <w:r>
        <w:rPr>
          <w:rFonts w:hint="default" w:ascii="Times New Roman" w:hAnsi="Times New Roman" w:eastAsia="宋体" w:cs="Times New Roman"/>
          <w:i w:val="0"/>
          <w:iCs w:val="0"/>
          <w:color w:val="000000"/>
          <w:kern w:val="0"/>
          <w:sz w:val="15"/>
          <w:szCs w:val="15"/>
          <w:u w:val="none"/>
          <w:lang w:val="en-US" w:eastAsia="zh-CN" w:bidi="ar"/>
        </w:rPr>
        <w:t>入建筑专业</w:t>
      </w:r>
      <w:r>
        <w:rPr>
          <w:rFonts w:hint="eastAsia" w:ascii="Times New Roman" w:hAnsi="Times New Roman" w:eastAsia="宋体" w:cs="Times New Roman"/>
          <w:i w:val="0"/>
          <w:iCs w:val="0"/>
          <w:color w:val="000000"/>
          <w:kern w:val="0"/>
          <w:sz w:val="15"/>
          <w:szCs w:val="15"/>
          <w:u w:val="none"/>
          <w:lang w:val="en-US" w:eastAsia="zh-CN" w:bidi="ar"/>
        </w:rPr>
        <w:t>施工图设计说明</w:t>
      </w:r>
      <w:r>
        <w:rPr>
          <w:rFonts w:hint="default" w:ascii="Times New Roman" w:hAnsi="Times New Roman" w:eastAsia="宋体" w:cs="Times New Roman"/>
          <w:i w:val="0"/>
          <w:iCs w:val="0"/>
          <w:color w:val="000000"/>
          <w:kern w:val="0"/>
          <w:sz w:val="15"/>
          <w:szCs w:val="15"/>
          <w:u w:val="none"/>
          <w:lang w:val="en-US" w:eastAsia="zh-CN" w:bidi="ar"/>
        </w:rPr>
        <w:t>，基本级绿色建筑设计可删除星级设计要求和提高与创新的相关内容；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 xml:space="preserve">4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p>
    <w:p>
      <w:pPr>
        <w:pStyle w:val="41"/>
        <w:keepNext w:val="0"/>
        <w:keepLines w:val="0"/>
        <w:pageBreakBefore w:val="0"/>
        <w:widowControl w:val="0"/>
        <w:kinsoku/>
        <w:wordWrap/>
        <w:overflowPunct/>
        <w:topLinePunct w:val="0"/>
        <w:bidi w:val="0"/>
        <w:snapToGrid/>
        <w:spacing w:line="200" w:lineRule="exact"/>
        <w:jc w:val="both"/>
        <w:textAlignment w:val="auto"/>
        <w:rPr>
          <w:rFonts w:hint="default" w:ascii="Times New Roman" w:hAnsi="Times New Roman" w:cs="Times New Roman"/>
          <w:color w:val="auto"/>
          <w:sz w:val="15"/>
          <w:szCs w:val="15"/>
        </w:rPr>
      </w:pPr>
    </w:p>
    <w:p>
      <w:pPr>
        <w:pStyle w:val="41"/>
        <w:keepNext w:val="0"/>
        <w:keepLines w:val="0"/>
        <w:pageBreakBefore w:val="0"/>
        <w:widowControl w:val="0"/>
        <w:kinsoku/>
        <w:wordWrap/>
        <w:overflowPunct/>
        <w:topLinePunct w:val="0"/>
        <w:bidi w:val="0"/>
        <w:snapToGrid/>
        <w:spacing w:line="200" w:lineRule="exact"/>
        <w:textAlignment w:val="auto"/>
        <w:rPr>
          <w:rFonts w:hint="default" w:ascii="Times New Roman" w:hAnsi="Times New Roman" w:cs="Times New Roman"/>
          <w:color w:val="auto"/>
        </w:rPr>
        <w:sectPr>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p>
    <w:p>
      <w:pPr>
        <w:spacing w:before="249" w:beforeLines="80" w:after="62" w:afterLines="20" w:line="240" w:lineRule="auto"/>
        <w:jc w:val="center"/>
        <w:outlineLvl w:val="1"/>
        <w:rPr>
          <w:rFonts w:hint="default" w:ascii="Times New Roman" w:hAnsi="Times New Roman" w:eastAsia="黑体" w:cs="Times New Roman"/>
          <w:b w:val="0"/>
          <w:bCs w:val="0"/>
          <w:color w:val="auto"/>
          <w:sz w:val="18"/>
          <w:szCs w:val="18"/>
        </w:rPr>
      </w:pPr>
      <w:bookmarkStart w:id="23" w:name="_Toc25721"/>
      <w:bookmarkStart w:id="24" w:name="_Toc4734"/>
      <w:bookmarkStart w:id="25" w:name="_Toc2184"/>
      <w:bookmarkStart w:id="26" w:name="_Toc7697"/>
      <w:bookmarkStart w:id="27" w:name="_Toc31223"/>
      <w:bookmarkStart w:id="28" w:name="_Toc13967"/>
      <w:bookmarkStart w:id="29" w:name="_Toc12257"/>
      <w:r>
        <w:rPr>
          <w:rFonts w:hint="default" w:ascii="Times New Roman" w:hAnsi="Times New Roman" w:eastAsia="黑体" w:cs="Times New Roman"/>
          <w:b w:val="0"/>
          <w:bCs w:val="0"/>
          <w:color w:val="auto"/>
          <w:sz w:val="18"/>
          <w:szCs w:val="18"/>
        </w:rPr>
        <w:t>表C-3  建筑设计绿色建筑技术措施汇总表</w:t>
      </w:r>
      <w:bookmarkEnd w:id="23"/>
      <w:bookmarkEnd w:id="24"/>
      <w:bookmarkEnd w:id="25"/>
      <w:bookmarkEnd w:id="26"/>
      <w:bookmarkEnd w:id="27"/>
      <w:bookmarkEnd w:id="28"/>
      <w:bookmarkEnd w:id="29"/>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983"/>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0"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10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0"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应结合场地自然条件和建筑功能需求，对建筑的体形、平面布局、空间尺度、围护结构等进行节能设计，且应符合国家及福建省有关节能设计的要求。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□节能计算书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15"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5.1.2</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建筑的遮阳设施、太阳能设施、空调室外机位、外墙花池、室外吊顶、装饰线脚、阳台及露台玻璃栏板等外部设施应与建筑主体结构统一设计，并应预留安装、检修与维护等条件。</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37"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5.1.3</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建筑内部的整体卫生间、橱柜、储物柜、门窗、防护栏杆等非结构构件或附属设施等应连接牢固并能适应主体结构变形。</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70"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5.1.4</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建筑外门窗、幕墙应设计牢固，其抗风压性能、水密性、气密性应符合国家及福建省现行有关标准的规定。</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40"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5.1.5</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厨房、卫生间、浴室、盥洗室的楼、地面应设置防水层，墙面、顶棚应设置防潮层。墙面与地面应按照一体化防水做法设计，防水和防潮设计应符合现行行业标准《住宅室内防水工程技术规范》JGJ 298的规定。</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73"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5.1.6</w:t>
            </w:r>
          </w:p>
        </w:tc>
        <w:tc>
          <w:tcPr>
            <w:tcW w:w="398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走廊、疏散通道、楼梯间等通行空间应满足紧急疏散、应急救护等要求。</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47" w:hRule="atLeast"/>
        </w:trPr>
        <w:tc>
          <w:tcPr>
            <w:tcW w:w="58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5.1.7</w:t>
            </w:r>
          </w:p>
        </w:tc>
        <w:tc>
          <w:tcPr>
            <w:tcW w:w="3983"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建筑应合理设置标识系统，并应符合下列要求：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应具有安全防护的警示和引导标识系统；</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应设置便于识别和使用的标识系统。</w:t>
            </w: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□标识设计文件</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94" w:hRule="atLeast"/>
        </w:trPr>
        <w:tc>
          <w:tcPr>
            <w:tcW w:w="58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5.1.8</w:t>
            </w:r>
          </w:p>
        </w:tc>
        <w:tc>
          <w:tcPr>
            <w:tcW w:w="398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建筑室内和建筑主出入口应在醒目位置设置禁烟标志。</w:t>
            </w:r>
          </w:p>
        </w:tc>
        <w:tc>
          <w:tcPr>
            <w:tcW w:w="44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983"/>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98"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5.1.9</w:t>
            </w:r>
          </w:p>
        </w:tc>
        <w:tc>
          <w:tcPr>
            <w:tcW w:w="398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室内装饰装修材料及材料中甲醛、苯、氨、氡、总挥发性有机物等有害物质限量必须符合现行国家标准《室内装饰装修材料 人造板及其制品中甲醛释放限量》GB 18580～《混凝土外加剂中释放氨的限量》GB 18588、《建筑材料放射性核素限量》GB 6566和《民用建筑工程室内环境污染控制标准》GB 50325等标准的规定。</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99"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5.1.10</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建筑内复印室、打印室、垃圾间、清洁间等产生异味或污染物的房间应与其他房间分开设置，并采取措施避免厨房、餐厅、打印复印室、卫生间、地下车库等区域的空气和污染物串通到其他空间或室外活动场所。</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90"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5.1.11</w:t>
            </w:r>
          </w:p>
        </w:tc>
        <w:tc>
          <w:tcPr>
            <w:tcW w:w="398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主要功能房间的室内噪声级和隔声性能应符合下列规定：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室内噪声级应满足国家标准《民用建筑隔声设计规范》GB 50118-2010中的低限要求或本标准附录E的低限要求；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外墙、隔墙、楼板和门窗的隔声性能应满足国家标准《民用建筑隔声设计规范》GB</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50118-2010中的低限要求或本标准附录F和附录G的低限要求。</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color w:val="auto"/>
                <w:kern w:val="0"/>
                <w:sz w:val="16"/>
                <w:szCs w:val="16"/>
              </w:rPr>
              <w:t>□室内背景噪声分析报告</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□建筑构件隔声</w:t>
            </w:r>
            <w:r>
              <w:rPr>
                <w:rFonts w:hint="eastAsia"/>
                <w:color w:val="auto"/>
                <w:kern w:val="0"/>
                <w:sz w:val="16"/>
                <w:szCs w:val="16"/>
                <w:highlight w:val="none"/>
              </w:rPr>
              <w:t>性能</w:t>
            </w:r>
            <w:r>
              <w:rPr>
                <w:rFonts w:hint="eastAsia"/>
                <w:color w:val="auto"/>
                <w:kern w:val="0"/>
                <w:sz w:val="16"/>
                <w:szCs w:val="16"/>
                <w:highlight w:val="none"/>
                <w:lang w:val="en-US" w:eastAsia="zh-CN"/>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52" w:hRule="atLeast"/>
        </w:trPr>
        <w:tc>
          <w:tcPr>
            <w:tcW w:w="58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5.1.12</w:t>
            </w:r>
          </w:p>
        </w:tc>
        <w:tc>
          <w:tcPr>
            <w:tcW w:w="3983"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建筑围护结构热工设计时，应依据现行国家标准《建筑环境通用规范》GB 55016对围护结构进行结露验算和隔热验算，且应符合下列要求：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在室内设计温度、湿度条件下，建筑非透光围护结构热桥部分内表面不得结露；</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屋顶和外墙隔热性能应满足现行国家标准《建筑环境通用规范》GB 55016的要求。</w:t>
            </w: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color w:val="auto"/>
                <w:kern w:val="0"/>
                <w:sz w:val="16"/>
                <w:szCs w:val="16"/>
              </w:rPr>
              <w:t>□围护结构结露验算报告</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□围护结构隔热性能分析报告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28"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5.1.13</w:t>
            </w:r>
          </w:p>
        </w:tc>
        <w:tc>
          <w:tcPr>
            <w:tcW w:w="398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建筑方案设计不应采用严重不规则的建筑形体。</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5.1.14</w:t>
            </w:r>
          </w:p>
        </w:tc>
        <w:tc>
          <w:tcPr>
            <w:tcW w:w="398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建筑造型应简约，应避免采用纯装饰性构件，或当设计有纯装饰性构件时，其造价应符合下列要求：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住宅建筑的装饰性构件造价占建筑总造价的比例不应大于2%；</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公共建筑的装饰性构件造价占建筑总造价的比例不应大于1%。</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□装饰性构件造价比例计算</w:t>
            </w:r>
            <w:r>
              <w:rPr>
                <w:rFonts w:hint="eastAsia"/>
                <w:color w:val="auto"/>
                <w:kern w:val="0"/>
                <w:sz w:val="16"/>
                <w:szCs w:val="16"/>
                <w:highlight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8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5.1.15</w:t>
            </w:r>
          </w:p>
        </w:tc>
        <w:tc>
          <w:tcPr>
            <w:tcW w:w="3983"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新建住宅、党政机关办公楼、医院门诊急诊楼和病房楼、中小学校、托儿所、幼儿园、老年人建筑，不得在二层及以上采用玻璃幕墙。</w:t>
            </w:r>
          </w:p>
        </w:tc>
        <w:tc>
          <w:tcPr>
            <w:tcW w:w="44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5"/>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7"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54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不适用分</w:t>
            </w:r>
          </w:p>
        </w:tc>
        <w:tc>
          <w:tcPr>
            <w:tcW w:w="1105" w:type="dxa"/>
            <w:tcBorders>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71" w:hRule="atLeast"/>
        </w:trPr>
        <w:tc>
          <w:tcPr>
            <w:tcW w:w="58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w:t>
            </w:r>
          </w:p>
        </w:tc>
        <w:tc>
          <w:tcPr>
            <w:tcW w:w="3542"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建筑平面、空间布局应充分考虑设备等噪声源的位置，避免产生噪声干扰，并应符合下列规定（设计分值为1分）：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锅炉房、水泵房、变压器室、制冷机房宜单独设置在噪声敏感建筑之外</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当住宅、学校、医院、旅馆、办公等建筑所在区域内有产生噪声的建筑附属设施时，应避免其对噪声敏感建筑物产生噪声干扰，必要时应作防噪处理；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确需在噪声敏感建筑物内设置锅炉房、水泵房、变压器室、制冷机房时，宜将噪声源设置在地下，但不应放在住宅或重要房间正下方或正上方；</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冷却塔、热泵机组应设置在对噪声敏感建筑物噪声干扰较小的位置；</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住宅建筑电梯井不应紧邻卧室布置。当无法避免电梯井紧邻起居室布置时，必须采取相应的减振降噪措施。</w:t>
            </w: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widowControl/>
              <w:kinsoku/>
              <w:wordWrap/>
              <w:overflowPunct/>
              <w:topLinePunct w:val="0"/>
              <w:autoSpaceDE/>
              <w:autoSpaceDN/>
              <w:bidi w:val="0"/>
              <w:adjustRightInd/>
              <w:snapToGrid/>
              <w:spacing w:line="200" w:lineRule="exact"/>
              <w:jc w:val="both"/>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84"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建筑室内外公共区域应满足全龄化设计要求，并应符合下列要求（设计分值为7分）：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建筑室内公共区域、室外公共活动场地及道路均应满足无障碍设计要求（3分）；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建筑室内公共区域的墙、柱等处的阳角均应为圆角，并应设有安全抓杆或扶手（2分）；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建筑应设有可容纳担架的无障碍电梯（2分）。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58"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5.2.3</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应合理设置健身场地和空间，并应符合下列要求（设计分值为3分）：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室内健身空间的面积不少于地上建筑面积的0.3%且不少于60m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楼梯间具有天然采光和良好的视野，且距离主入口的距离不大于15m（1分）。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29" w:hRule="atLeast"/>
        </w:trPr>
        <w:tc>
          <w:tcPr>
            <w:tcW w:w="58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5.2.4</w:t>
            </w:r>
          </w:p>
        </w:tc>
        <w:tc>
          <w:tcPr>
            <w:tcW w:w="3542"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除旅馆、教学楼、医院等建筑类型外，公共建筑中可变换功能的室内空间应采用灵活隔断，并应符合下列要求（设计分值为7分）：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采用灵活隔断或大开间的面积占可变换功能的室内空间面积的比例不应低于30%（4分）；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采用灵活隔断或大开间的面积占可变换功能的室内空间面积的比例不应低于80%（7分）。</w:t>
            </w:r>
          </w:p>
        </w:tc>
        <w:tc>
          <w:tcPr>
            <w:tcW w:w="44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□灵活隔断比例分析报告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02"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5.2.5</w:t>
            </w:r>
          </w:p>
        </w:tc>
        <w:tc>
          <w:tcPr>
            <w:tcW w:w="3542"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应采取保障人员安全的防护措施，并应符合下列要求（设计分值为11分）：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应提高阳台、外窗、窗台、防护栏杆等安全防护标准（4分）；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建筑物出入口均应设外墙饰面、门窗玻璃、幕墙意外脱落的防护措施，并应与人员通行区域的遮阳、遮风或挡雨措施结合（4分）；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  建筑外墙距离地面高度超过24m的区域不应采用粘贴饰面砖（板），其中教育建筑和老年人建筑外墙距离地面3m以上的区域不应采用粘贴饰面砖（板）（3分）。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77"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5.2.6</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建筑设计应采用具有安全防护功能的产品或配件，并应符合下列要求（设计分值为10分）：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应采用具有安全防护功能的玻璃（5分）；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应采用具备防夹功能的门窗（5分）。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39"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5.2.7</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室内地面应设置防滑措施，并应符合下列要求（设计分值为5分）：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建筑出入口及平台、公共走廊、电梯门厅、厨房、浴室、卫生间等应设置防滑措施，防滑等级不低于现行行业标准《建筑地面工程防滑技术规程》JGJ/T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B</w:t>
            </w:r>
            <w:r>
              <w:rPr>
                <w:rFonts w:hint="default" w:ascii="Times New Roman" w:hAnsi="Times New Roman" w:eastAsia="宋体" w:cs="Times New Roman"/>
                <w:i w:val="0"/>
                <w:iCs w:val="0"/>
                <w:color w:val="000000"/>
                <w:kern w:val="0"/>
                <w:sz w:val="16"/>
                <w:szCs w:val="16"/>
                <w:u w:val="none"/>
                <w:vertAlign w:val="subscript"/>
                <w:lang w:val="en-US" w:eastAsia="zh-CN" w:bidi="ar"/>
              </w:rPr>
              <w:t>d</w: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iCs/>
                <w:color w:val="000000"/>
                <w:kern w:val="0"/>
                <w:sz w:val="16"/>
                <w:szCs w:val="16"/>
                <w:u w:val="none"/>
                <w:lang w:val="en-US" w:eastAsia="zh-CN" w:bidi="ar"/>
              </w:rPr>
              <w:t>B</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建筑室内活动场所采用防滑地面，防滑等级应达到现行行业标准《建筑地面工程防滑技术规程》JGJ/T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d</w: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  建筑坡道、楼梯踏步防滑等级应达到现行行业标准《建筑地面工程防滑技术规程》JGJ/T 331规定的</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d</w: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iCs/>
                <w:color w:val="000000"/>
                <w:kern w:val="0"/>
                <w:sz w:val="16"/>
                <w:szCs w:val="16"/>
                <w:u w:val="none"/>
                <w:lang w:val="en-US" w:eastAsia="zh-CN" w:bidi="ar"/>
              </w:rPr>
              <w:t>A</w:t>
            </w:r>
            <w:r>
              <w:rPr>
                <w:rFonts w:hint="default" w:ascii="Times New Roman" w:hAnsi="Times New Roman" w:eastAsia="宋体" w:cs="Times New Roman"/>
                <w:i w:val="0"/>
                <w:iCs w:val="0"/>
                <w:color w:val="000000"/>
                <w:kern w:val="0"/>
                <w:sz w:val="16"/>
                <w:szCs w:val="16"/>
                <w:u w:val="none"/>
                <w:vertAlign w:val="subscript"/>
                <w:lang w:val="en-US" w:eastAsia="zh-CN" w:bidi="ar"/>
              </w:rPr>
              <w:t>w</w:t>
            </w:r>
            <w:r>
              <w:rPr>
                <w:rFonts w:hint="default" w:ascii="Times New Roman" w:hAnsi="Times New Roman" w:eastAsia="宋体" w:cs="Times New Roman"/>
                <w:i w:val="0"/>
                <w:iCs w:val="0"/>
                <w:color w:val="000000"/>
                <w:kern w:val="0"/>
                <w:sz w:val="16"/>
                <w:szCs w:val="16"/>
                <w:u w:val="none"/>
                <w:lang w:val="en-US" w:eastAsia="zh-CN" w:bidi="ar"/>
              </w:rPr>
              <w:t>级或应按水平地面等级提高一级，并应采用防滑条等防滑构造技术措施（2分）。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□详装修施工图：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05"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5.2.8</w:t>
            </w:r>
          </w:p>
        </w:tc>
        <w:tc>
          <w:tcPr>
            <w:tcW w:w="354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地下建筑或设施出入口应采取防止雨水倒灌的措施（设计分值为2分）。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45" w:hRule="atLeast"/>
        </w:trPr>
        <w:tc>
          <w:tcPr>
            <w:tcW w:w="58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5.2.9</w:t>
            </w:r>
          </w:p>
        </w:tc>
        <w:tc>
          <w:tcPr>
            <w:tcW w:w="3542"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应合理采用耐久性好、易维护的装饰装修建筑材料，并应符合下列要求（设计分值为9分）：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应采用耐久性好的外饰面材料（3分）；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应采用耐久性好的防水和密封材料（3分）；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  应采用耐久性好、易维护的室内装饰装修材料（3分）。</w:t>
            </w:r>
          </w:p>
        </w:tc>
        <w:tc>
          <w:tcPr>
            <w:tcW w:w="44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□详装修施工图：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659"/>
        <w:gridCol w:w="429"/>
        <w:gridCol w:w="430"/>
        <w:gridCol w:w="10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43"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5.2.10</w:t>
            </w:r>
          </w:p>
        </w:tc>
        <w:tc>
          <w:tcPr>
            <w:tcW w:w="365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应结合场地自然条件，对建筑的体形、朝向、窗墙比等进行优化设计，并应符合下列要求之一（设计分值为4分）：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居住建筑设计时应采用南北朝向或接近南北向朝向，且窗墙比符合表5.2.10的要求；公共建筑设计时窗墙比不应大于0.5</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经过建筑朝向、体形、窗墙比或围护结构热工性能等多方案比选和优化设计，达到较好的节能效果。</w:t>
            </w:r>
          </w:p>
        </w:tc>
        <w:tc>
          <w:tcPr>
            <w:tcW w:w="429"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0"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01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ascii="宋体" w:hAnsi="宋体" w:cs="宋体"/>
                <w:color w:val="auto"/>
                <w:kern w:val="0"/>
                <w:sz w:val="16"/>
                <w:szCs w:val="16"/>
              </w:rPr>
            </w:pPr>
            <w:r>
              <w:rPr>
                <w:rFonts w:hint="eastAsia" w:ascii="宋体" w:hAnsi="宋体" w:cs="宋体"/>
                <w:color w:val="auto"/>
                <w:kern w:val="0"/>
                <w:sz w:val="16"/>
                <w:szCs w:val="16"/>
              </w:rPr>
              <w:t>□节能计算书</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宋体" w:hAnsi="宋体" w:cs="宋体"/>
                <w:color w:val="auto"/>
                <w:kern w:val="0"/>
                <w:sz w:val="16"/>
                <w:szCs w:val="16"/>
              </w:rPr>
              <w:t>□</w:t>
            </w:r>
            <w:r>
              <w:rPr>
                <w:rFonts w:hint="eastAsia" w:ascii="宋体" w:hAnsi="宋体" w:cs="宋体"/>
                <w:color w:val="auto"/>
                <w:kern w:val="0"/>
                <w:sz w:val="16"/>
                <w:szCs w:val="16"/>
                <w:lang w:eastAsia="zh-CN"/>
              </w:rPr>
              <w:t>节能优化分析报告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61"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5.2.11</w:t>
            </w:r>
          </w:p>
        </w:tc>
        <w:tc>
          <w:tcPr>
            <w:tcW w:w="3659"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建筑围护结构合理采用适宜本地区气候特点的节能技术和产品，并应满足下列设计要求（设计分值为6分）：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外墙采用自保温墙体材料（1分）；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外墙采用浅色饰面材料或热反射涂料，饰面材料太阳辐射吸收系数小于0.6（1分）；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设置通风屋面、种植屋面或屋面采用热反射涂料（1分）；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采用增强建筑内部自然通风的被动设计（2分）；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5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屋面应设置遮阳装置或设施，且遮阳面积不应低于屋面面积的25%（1分）。</w:t>
            </w:r>
          </w:p>
        </w:tc>
        <w:tc>
          <w:tcPr>
            <w:tcW w:w="429"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0"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01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highlight w:val="none"/>
              </w:rPr>
            </w:pPr>
            <w:r>
              <w:rPr>
                <w:rFonts w:hint="eastAsia"/>
                <w:color w:val="auto"/>
                <w:kern w:val="0"/>
                <w:sz w:val="16"/>
                <w:szCs w:val="16"/>
                <w:highlight w:val="none"/>
              </w:rPr>
              <w:t>□节能计算书</w:t>
            </w:r>
          </w:p>
          <w:p>
            <w:pPr>
              <w:keepNext w:val="0"/>
              <w:keepLines w:val="0"/>
              <w:pageBreakBefore w:val="0"/>
              <w:kinsoku/>
              <w:wordWrap/>
              <w:overflowPunct/>
              <w:topLinePunct w:val="0"/>
              <w:bidi w:val="0"/>
              <w:spacing w:line="200" w:lineRule="exact"/>
              <w:rPr>
                <w:rFonts w:hint="eastAsia" w:eastAsia="宋体"/>
                <w:color w:val="auto"/>
                <w:kern w:val="0"/>
                <w:sz w:val="16"/>
                <w:szCs w:val="16"/>
                <w:highlight w:val="none"/>
                <w:lang w:eastAsia="zh-CN"/>
              </w:rPr>
            </w:pPr>
            <w:r>
              <w:rPr>
                <w:rFonts w:hint="eastAsia"/>
                <w:color w:val="auto"/>
                <w:kern w:val="0"/>
                <w:sz w:val="16"/>
                <w:szCs w:val="16"/>
                <w:highlight w:val="none"/>
              </w:rPr>
              <w:t>□屋面遮阳面积比例计算</w:t>
            </w:r>
            <w:r>
              <w:rPr>
                <w:rFonts w:hint="eastAsia"/>
                <w:color w:val="auto"/>
                <w:kern w:val="0"/>
                <w:sz w:val="16"/>
                <w:szCs w:val="16"/>
                <w:highlight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340" w:hRule="atLeast"/>
        </w:trPr>
        <w:tc>
          <w:tcPr>
            <w:tcW w:w="58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5.2.12*</w:t>
            </w:r>
          </w:p>
        </w:tc>
        <w:tc>
          <w:tcPr>
            <w:tcW w:w="3659"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建筑围护结构的热工性能应进行优化设计，并符合下列要求（设计分值为12分）：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围护结构热工性能应比国家现行相关建筑节能设计标准规定的提高幅度达到5%，或建筑供暖空调负荷降低5％（4分，一星级必得分）；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围护结构热工性能应比国家现行相关建筑节能设计标准规定的提高幅度达到10%，或建筑供暖空调负荷降低10％（8分）；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围护结构热工性能应比国家现行相关建筑节能设计标准规定的提高幅度达到15%，或建筑供暖空调负荷降低15％（12分）。</w:t>
            </w:r>
          </w:p>
        </w:tc>
        <w:tc>
          <w:tcPr>
            <w:tcW w:w="429"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0"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011"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color w:val="auto"/>
                <w:kern w:val="0"/>
                <w:sz w:val="16"/>
                <w:szCs w:val="16"/>
              </w:rPr>
              <w:t>□节能计算书</w:t>
            </w:r>
          </w:p>
          <w:p>
            <w:pPr>
              <w:keepNext w:val="0"/>
              <w:keepLines w:val="0"/>
              <w:pageBreakBefore w:val="0"/>
              <w:kinsoku/>
              <w:wordWrap/>
              <w:overflowPunct/>
              <w:topLinePunct w:val="0"/>
              <w:bidi w:val="0"/>
              <w:spacing w:line="200" w:lineRule="exact"/>
            </w:pPr>
            <w:r>
              <w:rPr>
                <w:rFonts w:hint="eastAsia"/>
                <w:color w:val="auto"/>
                <w:kern w:val="0"/>
                <w:sz w:val="16"/>
                <w:szCs w:val="16"/>
              </w:rPr>
              <w:t>□</w:t>
            </w:r>
            <w:r>
              <w:rPr>
                <w:rFonts w:hint="default" w:ascii="Times New Roman" w:hAnsi="Times New Roman" w:eastAsia="宋体" w:cs="Times New Roman"/>
                <w:i w:val="0"/>
                <w:iCs w:val="0"/>
                <w:color w:val="000000"/>
                <w:kern w:val="0"/>
                <w:sz w:val="16"/>
                <w:szCs w:val="16"/>
                <w:u w:val="none"/>
                <w:lang w:val="en-US" w:eastAsia="zh-CN" w:bidi="ar"/>
              </w:rPr>
              <w:t>围护结构热工性能</w:t>
            </w:r>
            <w:r>
              <w:rPr>
                <w:rFonts w:hint="eastAsia" w:ascii="Times New Roman" w:hAnsi="Times New Roman" w:eastAsia="宋体" w:cs="Times New Roman"/>
                <w:i w:val="0"/>
                <w:iCs w:val="0"/>
                <w:color w:val="000000"/>
                <w:kern w:val="0"/>
                <w:sz w:val="16"/>
                <w:szCs w:val="16"/>
                <w:u w:val="none"/>
                <w:lang w:val="en-US" w:eastAsia="zh-CN" w:bidi="ar"/>
              </w:rPr>
              <w:t>提升</w:t>
            </w:r>
            <w:r>
              <w:rPr>
                <w:rFonts w:hint="eastAsia"/>
                <w:color w:val="auto"/>
                <w:kern w:val="0"/>
                <w:sz w:val="16"/>
                <w:szCs w:val="16"/>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8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5.2.13</w:t>
            </w:r>
          </w:p>
        </w:tc>
        <w:tc>
          <w:tcPr>
            <w:tcW w:w="365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建筑设计应避免产生光污染，并应符合下列要求（设计分值为4分）：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当建筑外立面采用玻璃幕墙时，幕墙玻璃可见光反射比不应大于0.3；</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城市快速路、主干道、立交桥、高架桥两侧的建筑物20m以下及一般路段10m以下的玻璃幕墙和T形路口正对直线段处的玻璃幕墙可见光反射比不应大于0.16</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在居住建筑、医院、中小学校及幼儿园周边区域设置玻璃幕墙时，或在主干道路口和交通流量大的区域设置</w:t>
            </w:r>
            <w:r>
              <w:rPr>
                <w:rFonts w:hint="eastAsia" w:ascii="Times New Roman" w:hAnsi="Times New Roman" w:eastAsia="宋体" w:cs="Times New Roman"/>
                <w:i w:val="0"/>
                <w:iCs w:val="0"/>
                <w:color w:val="000000"/>
                <w:kern w:val="0"/>
                <w:sz w:val="16"/>
                <w:szCs w:val="16"/>
                <w:u w:val="none"/>
                <w:lang w:val="en-US" w:eastAsia="zh-CN" w:bidi="ar"/>
              </w:rPr>
              <w:t>玻璃</w:t>
            </w:r>
            <w:r>
              <w:rPr>
                <w:rFonts w:hint="default" w:ascii="Times New Roman" w:hAnsi="Times New Roman" w:eastAsia="宋体" w:cs="Times New Roman"/>
                <w:i w:val="0"/>
                <w:iCs w:val="0"/>
                <w:color w:val="000000"/>
                <w:kern w:val="0"/>
                <w:sz w:val="16"/>
                <w:szCs w:val="16"/>
                <w:u w:val="none"/>
                <w:lang w:val="en-US" w:eastAsia="zh-CN" w:bidi="ar"/>
              </w:rPr>
              <w:t>幕墙时，应进行玻璃幕墙反射光影响分析。</w:t>
            </w:r>
          </w:p>
        </w:tc>
        <w:tc>
          <w:tcPr>
            <w:tcW w:w="429"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0"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011"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color w:val="auto"/>
                <w:kern w:val="0"/>
                <w:sz w:val="16"/>
                <w:szCs w:val="16"/>
              </w:rPr>
              <w:t>□节能计算书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900" w:hRule="atLeast"/>
        </w:trPr>
        <w:tc>
          <w:tcPr>
            <w:tcW w:w="582" w:type="dxa"/>
            <w:tcBorders>
              <w:top w:val="single" w:color="auto" w:sz="12" w:space="0"/>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5.2.14</w:t>
            </w:r>
          </w:p>
        </w:tc>
        <w:tc>
          <w:tcPr>
            <w:tcW w:w="3542"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空调室外机的安装位置设计应符合下列要求（设计分值为5分）：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空调室外机位置应便于施工安装、维护清洗及检修拆卸等（1分）；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空调室外机遮挡格栅的通透率不应小于70%（1分）；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空调室外机不宜安装在建筑东西向外墙上（1分）；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空调室外机排风不应对吹或其水平间距不应小于4m（1分）；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5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空调室外机排风不应吹向相邻房间的门窗或阳台，且不应吹到人活动区域和绿化植物上（1分）。</w:t>
            </w:r>
          </w:p>
        </w:tc>
        <w:tc>
          <w:tcPr>
            <w:tcW w:w="441"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66" w:hRule="atLeast"/>
        </w:trPr>
        <w:tc>
          <w:tcPr>
            <w:tcW w:w="582" w:type="dxa"/>
            <w:tcBorders>
              <w:top w:val="single" w:color="auto" w:sz="4" w:space="0"/>
              <w:left w:val="single" w:color="auto" w:sz="12" w:space="0"/>
              <w:bottom w:val="nil"/>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5.2.15</w:t>
            </w:r>
          </w:p>
        </w:tc>
        <w:tc>
          <w:tcPr>
            <w:tcW w:w="3542" w:type="dxa"/>
            <w:tcBorders>
              <w:top w:val="single" w:color="auto" w:sz="4" w:space="0"/>
              <w:left w:val="single" w:color="auto" w:sz="4" w:space="0"/>
              <w:bottom w:val="nil"/>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公共建筑应采用屋顶绿化或垂直绿化，并应至少符合下列要求之一（设计分值为4分）：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屋顶的绿化面积占屋顶可绿化总面积的比例不小于40%；</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垂直绿化种植面积不少于2%的屋顶面积。</w:t>
            </w:r>
          </w:p>
        </w:tc>
        <w:tc>
          <w:tcPr>
            <w:tcW w:w="441" w:type="dxa"/>
            <w:tcBorders>
              <w:top w:val="single" w:color="auto" w:sz="4" w:space="0"/>
              <w:left w:val="single" w:color="auto" w:sz="4" w:space="0"/>
              <w:bottom w:val="nil"/>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left w:val="single" w:color="auto" w:sz="4" w:space="0"/>
              <w:bottom w:val="nil"/>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left w:val="single" w:color="auto" w:sz="4" w:space="0"/>
              <w:bottom w:val="nil"/>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pPr>
            <w:r>
              <w:rPr>
                <w:rFonts w:hint="eastAsia" w:ascii="Times New Roman" w:hAnsi="Times New Roman" w:eastAsia="宋体" w:cs="Times New Roman"/>
                <w:i w:val="0"/>
                <w:iCs w:val="0"/>
                <w:color w:val="000000"/>
                <w:sz w:val="16"/>
                <w:szCs w:val="16"/>
                <w:u w:val="none"/>
                <w:lang w:val="en-US" w:eastAsia="zh-CN"/>
              </w:rPr>
              <w:t>□</w:t>
            </w:r>
            <w:r>
              <w:rPr>
                <w:rFonts w:hint="eastAsia"/>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13" w:hRule="atLeast"/>
        </w:trPr>
        <w:tc>
          <w:tcPr>
            <w:tcW w:w="582" w:type="dxa"/>
            <w:tcBorders>
              <w:top w:val="single" w:color="auto" w:sz="4" w:space="0"/>
              <w:left w:val="single" w:color="auto" w:sz="12"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w:t>
            </w:r>
            <w:r>
              <w:rPr>
                <w:rFonts w:hint="eastAsia" w:ascii="Times New Roman" w:hAnsi="Times New Roman" w:eastAsia="宋体" w:cs="Times New Roman"/>
                <w:i w:val="0"/>
                <w:iCs w:val="0"/>
                <w:color w:val="000000"/>
                <w:kern w:val="0"/>
                <w:sz w:val="16"/>
                <w:szCs w:val="16"/>
                <w:u w:val="none"/>
                <w:lang w:val="en-US" w:eastAsia="zh-CN" w:bidi="ar"/>
              </w:rPr>
              <w:t>6</w:t>
            </w:r>
          </w:p>
        </w:tc>
        <w:tc>
          <w:tcPr>
            <w:tcW w:w="3542"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建筑外窗（包括透光幕墙）应有建筑遮阳措施，并符合下列要求（设计分值为3分）：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居住建筑东、西外窗应设置建筑遮阳设施，且建筑遮阳系数南北向不应大于0.9，东西向不应大于0.8；</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公共建筑应根据建筑功能、规划条件、围护结构形式等要求合理设置外遮阳设施，各朝向建筑遮阳系数不大于0.9。</w:t>
            </w:r>
          </w:p>
        </w:tc>
        <w:tc>
          <w:tcPr>
            <w:tcW w:w="44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left w:val="single" w:color="auto" w:sz="4" w:space="0"/>
              <w:bottom w:val="single" w:color="auto" w:sz="4" w:space="0"/>
              <w:right w:val="single" w:color="auto" w:sz="12" w:space="0"/>
            </w:tcBorders>
            <w:vAlign w:val="center"/>
          </w:tcPr>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ascii="Times New Roman" w:hAnsi="Times New Roman" w:eastAsia="宋体" w:cs="Times New Roman"/>
                <w:i w:val="0"/>
                <w:iCs w:val="0"/>
                <w:color w:val="000000"/>
                <w:sz w:val="16"/>
                <w:szCs w:val="16"/>
                <w:u w:val="none"/>
                <w:lang w:val="en-US" w:eastAsia="zh-CN"/>
              </w:rPr>
              <w:t>□</w:t>
            </w:r>
            <w:r>
              <w:rPr>
                <w:rFonts w:hint="eastAsia"/>
                <w:color w:val="auto"/>
                <w:kern w:val="0"/>
                <w:sz w:val="16"/>
                <w:szCs w:val="16"/>
              </w:rPr>
              <w:t>节能计算书</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kern w:val="2"/>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70" w:hRule="atLeast"/>
        </w:trPr>
        <w:tc>
          <w:tcPr>
            <w:tcW w:w="58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w:t>
            </w:r>
            <w:r>
              <w:rPr>
                <w:rFonts w:hint="eastAsia" w:ascii="Times New Roman" w:hAnsi="Times New Roman" w:eastAsia="宋体" w:cs="Times New Roman"/>
                <w:i w:val="0"/>
                <w:iCs w:val="0"/>
                <w:color w:val="000000"/>
                <w:kern w:val="0"/>
                <w:sz w:val="16"/>
                <w:szCs w:val="16"/>
                <w:u w:val="none"/>
                <w:lang w:val="en-US" w:eastAsia="zh-CN" w:bidi="ar"/>
              </w:rPr>
              <w:t>7</w:t>
            </w:r>
          </w:p>
        </w:tc>
        <w:tc>
          <w:tcPr>
            <w:tcW w:w="3542"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应针对建筑不同使用功能和不利朝向，进行建筑遮阳一体化设计，且建筑外窗和幕墙透明部分设计有可调外遮阳设施的面积比例应符合表5.2.1</w:t>
            </w:r>
            <w:r>
              <w:rPr>
                <w:rFonts w:hint="eastAsia" w:ascii="Times New Roman" w:hAnsi="Times New Roman" w:eastAsia="宋体" w:cs="Times New Roman"/>
                <w:i w:val="0"/>
                <w:iCs w:val="0"/>
                <w:color w:val="000000"/>
                <w:kern w:val="0"/>
                <w:sz w:val="16"/>
                <w:szCs w:val="16"/>
                <w:u w:val="none"/>
                <w:lang w:val="en-US" w:eastAsia="zh-CN" w:bidi="ar"/>
              </w:rPr>
              <w:t>7</w:t>
            </w:r>
            <w:r>
              <w:rPr>
                <w:rFonts w:hint="default" w:ascii="Times New Roman" w:hAnsi="Times New Roman" w:eastAsia="宋体" w:cs="Times New Roman"/>
                <w:i w:val="0"/>
                <w:iCs w:val="0"/>
                <w:color w:val="000000"/>
                <w:kern w:val="0"/>
                <w:sz w:val="16"/>
                <w:szCs w:val="16"/>
                <w:u w:val="none"/>
                <w:lang w:val="en-US" w:eastAsia="zh-CN" w:bidi="ar"/>
              </w:rPr>
              <w:t>的要求（设计分值为11分）。</w:t>
            </w:r>
          </w:p>
        </w:tc>
        <w:tc>
          <w:tcPr>
            <w:tcW w:w="44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color w:val="auto"/>
                <w:kern w:val="0"/>
                <w:sz w:val="16"/>
                <w:szCs w:val="16"/>
                <w:highlight w:val="none"/>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节能计算书</w:t>
            </w:r>
          </w:p>
          <w:p>
            <w:pPr>
              <w:keepNext w:val="0"/>
              <w:keepLines w:val="0"/>
              <w:pageBreakBefore w:val="0"/>
              <w:kinsoku/>
              <w:wordWrap/>
              <w:overflowPunct/>
              <w:topLinePunct w:val="0"/>
              <w:bidi w:val="0"/>
              <w:spacing w:line="200" w:lineRule="exact"/>
              <w:rPr>
                <w:rFonts w:hint="eastAsia" w:eastAsia="宋体"/>
                <w:highlight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可调外遮阳设施比例计算</w:t>
            </w:r>
            <w:r>
              <w:rPr>
                <w:rFonts w:hint="eastAsia"/>
                <w:color w:val="auto"/>
                <w:kern w:val="0"/>
                <w:sz w:val="16"/>
                <w:szCs w:val="16"/>
                <w:highlight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64" w:hRule="atLeast"/>
        </w:trPr>
        <w:tc>
          <w:tcPr>
            <w:tcW w:w="582" w:type="dxa"/>
            <w:tcBorders>
              <w:top w:val="single" w:color="auto" w:sz="12" w:space="0"/>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5.2.1</w:t>
            </w:r>
            <w:r>
              <w:rPr>
                <w:rFonts w:hint="eastAsia" w:ascii="Times New Roman" w:hAnsi="Times New Roman" w:eastAsia="宋体" w:cs="Times New Roman"/>
                <w:i w:val="0"/>
                <w:iCs w:val="0"/>
                <w:color w:val="000000"/>
                <w:kern w:val="0"/>
                <w:sz w:val="16"/>
                <w:szCs w:val="16"/>
                <w:u w:val="none"/>
                <w:lang w:val="en-US" w:eastAsia="zh-CN" w:bidi="ar"/>
              </w:rPr>
              <w:t>8</w:t>
            </w:r>
          </w:p>
        </w:tc>
        <w:tc>
          <w:tcPr>
            <w:tcW w:w="3542"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应对建筑空间、平面布局等进行优化，改善建筑自然通风效果，并应符合下列要求（设计分值为8分）：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1）外窗的通风开口面积与房间地板面积的比例或与外窗面积的比例应符合表5.2.1</w:t>
            </w:r>
            <w:r>
              <w:rPr>
                <w:rFonts w:hint="eastAsia" w:ascii="Times New Roman" w:hAnsi="Times New Roman" w:eastAsia="宋体" w:cs="Times New Roman"/>
                <w:i w:val="0"/>
                <w:iCs w:val="0"/>
                <w:color w:val="000000"/>
                <w:kern w:val="0"/>
                <w:sz w:val="16"/>
                <w:szCs w:val="16"/>
                <w:u w:val="none"/>
                <w:lang w:val="en-US" w:eastAsia="zh-CN" w:bidi="ar"/>
              </w:rPr>
              <w:t>8</w:t>
            </w:r>
            <w:r>
              <w:rPr>
                <w:rFonts w:hint="default" w:ascii="Times New Roman" w:hAnsi="Times New Roman" w:eastAsia="宋体" w:cs="Times New Roman"/>
                <w:i w:val="0"/>
                <w:iCs w:val="0"/>
                <w:color w:val="000000"/>
                <w:kern w:val="0"/>
                <w:sz w:val="16"/>
                <w:szCs w:val="16"/>
                <w:u w:val="none"/>
                <w:lang w:val="en-US" w:eastAsia="zh-CN" w:bidi="ar"/>
              </w:rPr>
              <w:t>-1的要求（5分）；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2）每户至少具有1个居住房间通风开口和通风路径满足自然通风要求（3分）。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公共建筑过渡季典型工况下主要功能房间平均自然通风换气次数不小于2次/h的面积比例应符合表5.2.1</w:t>
            </w:r>
            <w:r>
              <w:rPr>
                <w:rFonts w:hint="eastAsia" w:ascii="Times New Roman" w:hAnsi="Times New Roman" w:eastAsia="宋体" w:cs="Times New Roman"/>
                <w:i w:val="0"/>
                <w:iCs w:val="0"/>
                <w:color w:val="000000"/>
                <w:kern w:val="0"/>
                <w:sz w:val="16"/>
                <w:szCs w:val="16"/>
                <w:u w:val="none"/>
                <w:lang w:val="en-US" w:eastAsia="zh-CN" w:bidi="ar"/>
              </w:rPr>
              <w:t>8</w:t>
            </w:r>
            <w:r>
              <w:rPr>
                <w:rFonts w:hint="default" w:ascii="Times New Roman" w:hAnsi="Times New Roman" w:eastAsia="宋体" w:cs="Times New Roman"/>
                <w:i w:val="0"/>
                <w:iCs w:val="0"/>
                <w:color w:val="000000"/>
                <w:kern w:val="0"/>
                <w:sz w:val="16"/>
                <w:szCs w:val="16"/>
                <w:u w:val="none"/>
                <w:lang w:val="en-US" w:eastAsia="zh-CN" w:bidi="ar"/>
              </w:rPr>
              <w:t>-2的要求（8分）。</w:t>
            </w:r>
          </w:p>
        </w:tc>
        <w:tc>
          <w:tcPr>
            <w:tcW w:w="441"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eastAsia="宋体"/>
                <w:highlight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建筑</w:t>
            </w:r>
            <w:r>
              <w:rPr>
                <w:rFonts w:hint="eastAsia"/>
                <w:color w:val="auto"/>
                <w:kern w:val="0"/>
                <w:sz w:val="16"/>
                <w:szCs w:val="16"/>
                <w:highlight w:val="none"/>
                <w:lang w:val="en-US" w:eastAsia="zh-CN"/>
              </w:rPr>
              <w:t>室内</w:t>
            </w:r>
            <w:r>
              <w:rPr>
                <w:rFonts w:hint="eastAsia"/>
                <w:color w:val="auto"/>
                <w:kern w:val="0"/>
                <w:sz w:val="16"/>
                <w:szCs w:val="16"/>
                <w:highlight w:val="none"/>
              </w:rPr>
              <w:t>自然通风分析报告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83" w:hRule="atLeast"/>
        </w:trPr>
        <w:tc>
          <w:tcPr>
            <w:tcW w:w="58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lang w:val="en-US"/>
              </w:rPr>
            </w:pPr>
            <w:r>
              <w:rPr>
                <w:rFonts w:hint="default" w:ascii="Times New Roman" w:hAnsi="Times New Roman" w:eastAsia="宋体" w:cs="Times New Roman"/>
                <w:i w:val="0"/>
                <w:iCs w:val="0"/>
                <w:color w:val="000000"/>
                <w:kern w:val="0"/>
                <w:sz w:val="16"/>
                <w:szCs w:val="16"/>
                <w:u w:val="none"/>
                <w:lang w:val="en-US" w:eastAsia="zh-CN" w:bidi="ar"/>
              </w:rPr>
              <w:t>5.2.</w:t>
            </w:r>
            <w:r>
              <w:rPr>
                <w:rFonts w:hint="eastAsia" w:ascii="Times New Roman" w:hAnsi="Times New Roman" w:eastAsia="宋体" w:cs="Times New Roman"/>
                <w:i w:val="0"/>
                <w:iCs w:val="0"/>
                <w:color w:val="000000"/>
                <w:kern w:val="0"/>
                <w:sz w:val="16"/>
                <w:szCs w:val="16"/>
                <w:u w:val="none"/>
                <w:lang w:val="en-US" w:eastAsia="zh-CN" w:bidi="ar"/>
              </w:rPr>
              <w:t>19</w:t>
            </w:r>
          </w:p>
        </w:tc>
        <w:tc>
          <w:tcPr>
            <w:tcW w:w="3542"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宜采用下列措施对地下空间自然通风进行优化设计（设计分值为2分）：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宜设计可直接通风的半地下室；</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宜在地下室局部设置下沉式庭院；</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地下室宜设置通风井、窗井。</w:t>
            </w: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24"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0</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住宅建筑每户至少应有一个卫生间设计有外窗（设计分值为3分）。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02"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1</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采取措施优化主要功能房间的室内声环境，并符合下列要求（设计分值为8分）：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噪声级达到现行国家标准《民用建筑隔声设计规范》GB 50118中的低限标准限值和高要求标准限值的平均值（4分）；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噪声级达到现行国家标准《民用建筑隔声设计规范》GB 50118中的高要求标准限值（8分）。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color w:val="auto"/>
                <w:kern w:val="0"/>
                <w:sz w:val="16"/>
                <w:szCs w:val="16"/>
              </w:rPr>
              <w:t>室内背景噪声分析报告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2</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主要功能房间的隔声性能良好，并应符合下列要求（设计分值为11分）：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构件及相邻房间的空气声隔声性能达到现行国家标准《民用建筑隔声设计规范》GB 50118限值，并符合表5.2.2</w:t>
            </w:r>
            <w:r>
              <w:rPr>
                <w:rFonts w:hint="eastAsia" w:ascii="Times New Roman" w:hAnsi="Times New Roman" w:eastAsia="宋体"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-1的要求（6分）；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楼板的撞击声隔声性能达到现行国家标准《民用建筑隔声设计规范》GB 50118中的限值，并符合表5.2.2</w:t>
            </w:r>
            <w:r>
              <w:rPr>
                <w:rFonts w:hint="eastAsia" w:ascii="Times New Roman" w:hAnsi="Times New Roman" w:eastAsia="宋体" w:cs="Times New Roman"/>
                <w:i w:val="0"/>
                <w:iCs w:val="0"/>
                <w:color w:val="000000"/>
                <w:kern w:val="0"/>
                <w:sz w:val="16"/>
                <w:szCs w:val="16"/>
                <w:u w:val="none"/>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-2的要求（5分）。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建筑构件隔声性能</w:t>
            </w:r>
            <w:r>
              <w:rPr>
                <w:rFonts w:hint="eastAsia"/>
                <w:color w:val="auto"/>
                <w:kern w:val="0"/>
                <w:sz w:val="16"/>
                <w:szCs w:val="16"/>
                <w:highlight w:val="none"/>
                <w:lang w:val="en-US" w:eastAsia="zh-CN"/>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8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3</w:t>
            </w:r>
          </w:p>
        </w:tc>
        <w:tc>
          <w:tcPr>
            <w:tcW w:w="3542"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公共建筑中的多功能厅、接待大厅、大型会议室、讲堂、音乐厅等有声学要求的重要功能房间应进行专项声学设计，并应满足相应功能要求（设计分值为6分）。</w:t>
            </w:r>
          </w:p>
        </w:tc>
        <w:tc>
          <w:tcPr>
            <w:tcW w:w="44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声学专项设计报告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11"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4</w:t>
            </w:r>
          </w:p>
        </w:tc>
        <w:tc>
          <w:tcPr>
            <w:tcW w:w="3542"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充分利用天然光，并应符合下列要求（设计分值为9分）：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住宅建筑采光设计应符合表5.2.2</w:t>
            </w: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-1的要求（9分）；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公共建筑采光设计应符合表5.2.2</w:t>
            </w:r>
            <w:r>
              <w:rPr>
                <w:rFonts w:hint="eastAsia" w:ascii="Times New Roman" w:hAnsi="Times New Roman" w:eastAsia="宋体" w:cs="Times New Roman"/>
                <w:i w:val="0"/>
                <w:iCs w:val="0"/>
                <w:color w:val="000000"/>
                <w:kern w:val="0"/>
                <w:sz w:val="16"/>
                <w:szCs w:val="16"/>
                <w:u w:val="none"/>
                <w:lang w:val="en-US" w:eastAsia="zh-CN" w:bidi="ar"/>
              </w:rPr>
              <w:t>4</w:t>
            </w:r>
            <w:r>
              <w:rPr>
                <w:rFonts w:hint="default" w:ascii="Times New Roman" w:hAnsi="Times New Roman" w:eastAsia="宋体" w:cs="Times New Roman"/>
                <w:i w:val="0"/>
                <w:iCs w:val="0"/>
                <w:color w:val="000000"/>
                <w:kern w:val="0"/>
                <w:sz w:val="16"/>
                <w:szCs w:val="16"/>
                <w:u w:val="none"/>
                <w:lang w:val="en-US" w:eastAsia="zh-CN" w:bidi="ar"/>
              </w:rPr>
              <w:t>-2的要求（9分）。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建筑采光分析报告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01"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5</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应采取措施改善建筑室内天然采光效果，</w:t>
            </w:r>
            <w:r>
              <w:rPr>
                <w:rFonts w:hint="eastAsia" w:cs="Times New Roman"/>
                <w:i w:val="0"/>
                <w:iCs w:val="0"/>
                <w:color w:val="000000"/>
                <w:kern w:val="0"/>
                <w:sz w:val="16"/>
                <w:szCs w:val="16"/>
                <w:u w:val="none"/>
                <w:lang w:val="en-US" w:eastAsia="zh-CN" w:bidi="ar"/>
              </w:rPr>
              <w:t>并</w:t>
            </w:r>
            <w:r>
              <w:rPr>
                <w:rFonts w:hint="default" w:ascii="Times New Roman" w:hAnsi="Times New Roman" w:eastAsia="宋体" w:cs="Times New Roman"/>
                <w:i w:val="0"/>
                <w:iCs w:val="0"/>
                <w:color w:val="000000"/>
                <w:kern w:val="0"/>
                <w:sz w:val="16"/>
                <w:szCs w:val="16"/>
                <w:u w:val="none"/>
                <w:lang w:val="en-US" w:eastAsia="zh-CN" w:bidi="ar"/>
              </w:rPr>
              <w:t>符合下列要求（设计分值为12分）：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主要功能房间应采取合理的措施控制眩光，且不舒适眩光指数应符合现行国家标准《建筑采光设计标准》GB 50033的规定（4分）；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建筑内区采光系数满足采光要求的面积比例不应小于60%（4分）；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地下空间采用下沉广场（庭院）、天窗、导光管系统等措施改善室内采光，且地下空间中平均采光系数不小于0.5%的面积与首层地下室面积的比例达到10%以上（2分）；达到15%以上（4分）。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w:t>
            </w:r>
            <w:r>
              <w:rPr>
                <w:rFonts w:hint="eastAsia"/>
                <w:color w:val="auto"/>
                <w:kern w:val="0"/>
                <w:sz w:val="16"/>
                <w:szCs w:val="16"/>
              </w:rPr>
              <w:t>建筑采光分析报告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19"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6</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应根据项目周边环境，通过采用合理的楼间距、外窗开窗等措施，保证建筑主要功能房间具有良好的户外视野，并符合下列要求（设计分值为5分）：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住宅建筑与相邻建筑的直接间距不应小于18m；</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公共建筑主要功能房间应能通过外窗看到室外自然景观，并且无明显视线干扰。</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21"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w:t>
            </w:r>
            <w:r>
              <w:rPr>
                <w:rFonts w:hint="eastAsia" w:ascii="Times New Roman" w:hAnsi="Times New Roman" w:eastAsia="宋体" w:cs="Times New Roman"/>
                <w:i w:val="0"/>
                <w:iCs w:val="0"/>
                <w:color w:val="000000"/>
                <w:kern w:val="0"/>
                <w:sz w:val="16"/>
                <w:szCs w:val="16"/>
                <w:u w:val="none"/>
                <w:lang w:val="en-US" w:eastAsia="zh-CN" w:bidi="ar"/>
              </w:rPr>
              <w:t>7</w:t>
            </w:r>
            <w:r>
              <w:rPr>
                <w:rFonts w:hint="default" w:ascii="Times New Roman" w:hAnsi="Times New Roman" w:eastAsia="宋体" w:cs="Times New Roman"/>
                <w:i w:val="0"/>
                <w:iCs w:val="0"/>
                <w:color w:val="000000"/>
                <w:kern w:val="0"/>
                <w:sz w:val="16"/>
                <w:szCs w:val="16"/>
                <w:u w:val="none"/>
                <w:lang w:val="en-US" w:eastAsia="zh-CN" w:bidi="ar"/>
              </w:rPr>
              <w:t>*</w:t>
            </w:r>
          </w:p>
        </w:tc>
        <w:tc>
          <w:tcPr>
            <w:tcW w:w="354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应采取措施控制室内主要空气污染物的浓度，并应符合下列要求（设计分值为9分）：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氨、甲醛、苯、总挥发性有机物、氡等污染物浓度低于现行国家标准《室内空气质量标准》GB/T 18883规定限值的10%（3分，一星必得分）；低于20%（6分）；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公共建筑的主要出入口宜设置具有截尘功能的固定设施（3分）。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污染物浓度预评估分析报告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12" w:hRule="atLeast"/>
        </w:trPr>
        <w:tc>
          <w:tcPr>
            <w:tcW w:w="58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5.2.</w:t>
            </w:r>
            <w:r>
              <w:rPr>
                <w:rFonts w:hint="eastAsia" w:ascii="Times New Roman" w:hAnsi="Times New Roman" w:eastAsia="宋体" w:cs="Times New Roman"/>
                <w:i w:val="0"/>
                <w:iCs w:val="0"/>
                <w:color w:val="000000"/>
                <w:kern w:val="0"/>
                <w:sz w:val="16"/>
                <w:szCs w:val="16"/>
                <w:u w:val="none"/>
                <w:lang w:val="en-US" w:eastAsia="zh-CN" w:bidi="ar"/>
              </w:rPr>
              <w:t>28</w:t>
            </w:r>
          </w:p>
        </w:tc>
        <w:tc>
          <w:tcPr>
            <w:tcW w:w="3542"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采用自然通风或复合通风的建筑，主要功能房间室内热环境参数在适应性热舒适区域的时间比例，不应低于30%，并应符合表5.2.</w:t>
            </w:r>
            <w:r>
              <w:rPr>
                <w:rFonts w:hint="eastAsia" w:ascii="Times New Roman" w:hAnsi="Times New Roman" w:eastAsia="宋体" w:cs="Times New Roman"/>
                <w:i w:val="0"/>
                <w:iCs w:val="0"/>
                <w:color w:val="000000"/>
                <w:kern w:val="0"/>
                <w:sz w:val="16"/>
                <w:szCs w:val="16"/>
                <w:u w:val="none"/>
                <w:lang w:val="en-US" w:eastAsia="zh-CN" w:bidi="ar"/>
              </w:rPr>
              <w:t>28</w:t>
            </w:r>
            <w:r>
              <w:rPr>
                <w:rFonts w:hint="default" w:ascii="Times New Roman" w:hAnsi="Times New Roman" w:eastAsia="宋体" w:cs="Times New Roman"/>
                <w:i w:val="0"/>
                <w:iCs w:val="0"/>
                <w:color w:val="000000"/>
                <w:kern w:val="0"/>
                <w:sz w:val="16"/>
                <w:szCs w:val="16"/>
                <w:u w:val="none"/>
                <w:lang w:val="en-US" w:eastAsia="zh-CN" w:bidi="ar"/>
              </w:rPr>
              <w:t>的要求（8分）。</w:t>
            </w:r>
          </w:p>
        </w:tc>
        <w:tc>
          <w:tcPr>
            <w:tcW w:w="44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p>
        </w:tc>
        <w:tc>
          <w:tcPr>
            <w:tcW w:w="441"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kern w:val="2"/>
                <w:sz w:val="16"/>
                <w:szCs w:val="16"/>
                <w:u w:val="none"/>
                <w:lang w:val="en-US" w:eastAsia="zh-CN" w:bidi="ar-SA"/>
              </w:rPr>
            </w:pPr>
          </w:p>
        </w:tc>
        <w:tc>
          <w:tcPr>
            <w:tcW w:w="1105"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□室内温度模拟和舒适温度预计达标比例分析报告</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441"/>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65"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5.2.29</w:t>
            </w:r>
          </w:p>
        </w:tc>
        <w:tc>
          <w:tcPr>
            <w:tcW w:w="3542"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选用的装饰装修材料应满足国家现行绿色产品评价标准中对有害物质限量的要求，并应明确材料的种类和使用部位，且应符合下列要求（设计分值为5分）：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选用满足要求的装饰装修材料达到3类及以上（3分）；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选用满足要求的装饰装修材料达到5类及以上（5分）。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□详装修施工图：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11"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5.2.</w:t>
            </w:r>
            <w:r>
              <w:rPr>
                <w:rFonts w:hint="eastAsia" w:ascii="Times New Roman" w:hAnsi="Times New Roman" w:eastAsia="宋体" w:cs="Times New Roman"/>
                <w:i w:val="0"/>
                <w:iCs w:val="0"/>
                <w:color w:val="000000"/>
                <w:kern w:val="0"/>
                <w:sz w:val="16"/>
                <w:szCs w:val="16"/>
                <w:u w:val="none"/>
                <w:lang w:val="en-US" w:eastAsia="zh-CN" w:bidi="ar"/>
              </w:rPr>
              <w:t>30</w:t>
            </w:r>
            <w:r>
              <w:rPr>
                <w:rFonts w:hint="default" w:ascii="Times New Roman" w:hAnsi="Times New Roman" w:eastAsia="宋体" w:cs="Times New Roman"/>
                <w:i w:val="0"/>
                <w:iCs w:val="0"/>
                <w:color w:val="000000"/>
                <w:kern w:val="0"/>
                <w:sz w:val="16"/>
                <w:szCs w:val="16"/>
                <w:u w:val="none"/>
                <w:lang w:val="en-US" w:eastAsia="zh-CN" w:bidi="ar"/>
              </w:rPr>
              <w:t>*</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建筑装修设计应满足下列设计要求（设计分值为8分）：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住宅建筑及公共建筑均应进行全装修设计（4分，一星级必得分）；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2"/>
                <w:sz w:val="16"/>
                <w:szCs w:val="16"/>
                <w:u w:val="none"/>
                <w:lang w:val="en-US" w:eastAsia="zh-CN" w:bidi="ar-SA"/>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住宅建筑及公共建筑的所有部位均应进行土建和装修一体化设计（8分）。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2"/>
                <w:sz w:val="16"/>
                <w:szCs w:val="16"/>
                <w:u w:val="none"/>
                <w:lang w:val="en-US" w:eastAsia="zh-CN" w:bidi="ar-SA"/>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kern w:val="2"/>
                <w:sz w:val="16"/>
                <w:szCs w:val="16"/>
                <w:u w:val="none"/>
                <w:lang w:val="en-US" w:eastAsia="zh-CN" w:bidi="ar-SA"/>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□详装修施工图：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12"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5.2.31</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建筑装修应选用工业化内装部品，并应明确部品的使用种类和使用部位，建筑装修选用工业化内装部品占同类部品用量比例达到50%以上的部品种类应符合表5.2.31的要求（设计分值为8分）。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详装修施工图：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12" w:hRule="atLeast"/>
        </w:trPr>
        <w:tc>
          <w:tcPr>
            <w:tcW w:w="58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5.2.32</w:t>
            </w:r>
          </w:p>
        </w:tc>
        <w:tc>
          <w:tcPr>
            <w:tcW w:w="354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应选用绿色建材，并符合下列要求（设计分值为6分）：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绿色建材应用比例不应低于30%（2分）；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绿色建材应用比例不应低于50%（4分）；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绿色建材应用比例不应低于70%（6分）。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0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eastAsia="宋体" w:cs="Times New Roman"/>
                <w:i w:val="0"/>
                <w:iCs w:val="0"/>
                <w:color w:val="000000"/>
                <w:sz w:val="16"/>
                <w:szCs w:val="16"/>
                <w:u w:val="none"/>
                <w:lang w:val="en-US" w:eastAsia="zh-CN"/>
              </w:rPr>
              <w:t>绿色建材应用比例</w:t>
            </w:r>
            <w:r>
              <w:rPr>
                <w:rFonts w:hint="eastAsia" w:ascii="Times New Roman" w:hAnsi="Times New Roman" w:eastAsia="宋体" w:cs="Times New Roman"/>
                <w:i w:val="0"/>
                <w:iCs w:val="0"/>
                <w:color w:val="000000"/>
                <w:sz w:val="16"/>
                <w:szCs w:val="16"/>
                <w:u w:val="none"/>
                <w:lang w:val="en-US" w:eastAsia="zh-CN"/>
              </w:rPr>
              <w:t>计算</w:t>
            </w:r>
            <w:r>
              <w:rPr>
                <w:rFonts w:hint="default" w:ascii="Times New Roman" w:hAnsi="Times New Roman" w:eastAsia="宋体" w:cs="Times New Roman"/>
                <w:i w:val="0"/>
                <w:iCs w:val="0"/>
                <w:color w:val="000000"/>
                <w:sz w:val="16"/>
                <w:szCs w:val="16"/>
                <w:u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61" w:hRule="atLeast"/>
        </w:trPr>
        <w:tc>
          <w:tcPr>
            <w:tcW w:w="4124" w:type="dxa"/>
            <w:gridSpan w:val="2"/>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32" o:spt="75" type="#_x0000_t75" style="height:15.6pt;width:13pt;" o:ole="t" filled="f" o:preferrelative="t" stroked="f" coordsize="21600,21600">
                  <v:path/>
                  <v:fill on="f" focussize="0,0"/>
                  <v:stroke on="f"/>
                  <v:imagedata r:id="rId12" o:title=""/>
                  <o:lock v:ext="edit" aspectratio="t"/>
                  <w10:wrap type="none"/>
                  <w10:anchorlock/>
                </v:shape>
                <o:OLEObject Type="Embed" ProgID="Equation.KSEE3" ShapeID="_x0000_i1032" DrawAspect="Content" ObjectID="_1468075732" r:id="rId25">
                  <o:LockedField>false</o:LockedField>
                </o:OLEObject>
              </w:object>
            </w: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105" w:type="dxa"/>
            <w:tcBorders>
              <w:top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11" w:hRule="atLeast"/>
        </w:trPr>
        <w:tc>
          <w:tcPr>
            <w:tcW w:w="4124"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33"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33" DrawAspect="Content" ObjectID="_1468075733" r:id="rId26">
                  <o:LockedField>false</o:LockedField>
                </o:OLEObject>
              </w:objec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10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1" w:hRule="atLeast"/>
        </w:trPr>
        <w:tc>
          <w:tcPr>
            <w:tcW w:w="4124"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34"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34" DrawAspect="Content" ObjectID="_1468075734" r:id="rId27">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35" o:spt="75" type="#_x0000_t75" style="height:13.45pt;width:15.1pt;" o:ole="t" filled="f" o:preferrelative="t" stroked="f" coordsize="21600,21600">
                  <v:path/>
                  <v:fill on="f" focussize="0,0"/>
                  <v:stroke on="f"/>
                  <v:imagedata r:id="rId29" o:title=""/>
                  <o:lock v:ext="edit" aspectratio="t"/>
                  <w10:wrap type="none"/>
                  <w10:anchorlock/>
                </v:shape>
                <o:OLEObject Type="Embed" ProgID="Equation.KSEE3" ShapeID="_x0000_i1035" DrawAspect="Content" ObjectID="_1468075735" r:id="rId28">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w:t>
            </w:r>
            <w:r>
              <w:rPr>
                <w:rFonts w:hint="eastAsia" w:ascii="Times New Roman" w:hAnsi="Times New Roman" w:eastAsia="宋体" w:cs="Times New Roman"/>
                <w:i w:val="0"/>
                <w:iCs w:val="0"/>
                <w:color w:val="000000"/>
                <w:kern w:val="0"/>
                <w:sz w:val="16"/>
                <w:szCs w:val="16"/>
                <w:u w:val="none"/>
                <w:lang w:val="en-US" w:eastAsia="zh-CN" w:bidi="ar"/>
              </w:rPr>
              <w:t>212</w:t>
            </w:r>
            <w:r>
              <w:rPr>
                <w:rFonts w:hint="default" w:ascii="Times New Roman" w:hAnsi="Times New Roman" w:cs="Times New Roman"/>
                <w:i w:val="0"/>
                <w:lang w:val="en-US" w:eastAsia="zh-CN"/>
              </w:rPr>
              <w:t>）</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10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6"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1546"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48" w:hRule="atLeast"/>
        </w:trPr>
        <w:tc>
          <w:tcPr>
            <w:tcW w:w="58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5.3.1</w:t>
            </w:r>
          </w:p>
        </w:tc>
        <w:tc>
          <w:tcPr>
            <w:tcW w:w="3542"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建筑设计宜采用建筑信息模型（BIM）技术（设计分值为1分）。</w:t>
            </w:r>
          </w:p>
        </w:tc>
        <w:tc>
          <w:tcPr>
            <w:tcW w:w="44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46" w:type="dxa"/>
            <w:gridSpan w:val="2"/>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cs="Times New Roman"/>
                <w:color w:val="auto"/>
                <w:kern w:val="0"/>
                <w:sz w:val="16"/>
                <w:szCs w:val="16"/>
                <w:highlight w:val="none"/>
              </w:rPr>
              <w:t>BIM</w:t>
            </w:r>
            <w:r>
              <w:rPr>
                <w:rFonts w:hint="eastAsia"/>
                <w:color w:val="auto"/>
                <w:kern w:val="0"/>
                <w:sz w:val="16"/>
                <w:szCs w:val="16"/>
                <w:highlight w:val="none"/>
              </w:rPr>
              <w:t>技术应用报告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3</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82"/>
        <w:gridCol w:w="3542"/>
        <w:gridCol w:w="441"/>
        <w:gridCol w:w="15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31" w:hRule="atLeast"/>
        </w:trPr>
        <w:tc>
          <w:tcPr>
            <w:tcW w:w="58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5.3.2</w:t>
            </w:r>
          </w:p>
        </w:tc>
        <w:tc>
          <w:tcPr>
            <w:tcW w:w="3542"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建筑外门窗、幕墙的外窗风荷载标准值提高幅度不应低于20%（设计分值为1分）。</w:t>
            </w: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46"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eastAsia="宋体" w:cs="Times New Roman"/>
                <w:i w:val="0"/>
                <w:iCs w:val="0"/>
                <w:color w:val="000000"/>
                <w:sz w:val="16"/>
                <w:szCs w:val="16"/>
                <w:highlight w:val="none"/>
                <w:u w:val="none"/>
                <w:lang w:val="en-US" w:eastAsia="zh-CN"/>
              </w:rPr>
              <w:t>外窗风荷载标准值提高幅度</w:t>
            </w:r>
            <w:r>
              <w:rPr>
                <w:rFonts w:hint="eastAsia" w:ascii="Times New Roman" w:hAnsi="Times New Roman" w:eastAsia="宋体" w:cs="Times New Roman"/>
                <w:i w:val="0"/>
                <w:iCs w:val="0"/>
                <w:color w:val="000000"/>
                <w:sz w:val="16"/>
                <w:szCs w:val="16"/>
                <w:highlight w:val="none"/>
                <w:u w:val="none"/>
                <w:lang w:val="en-US" w:eastAsia="zh-CN"/>
              </w:rPr>
              <w:t>计算</w:t>
            </w:r>
            <w:r>
              <w:rPr>
                <w:rFonts w:hint="default" w:ascii="Times New Roman" w:hAnsi="Times New Roman" w:eastAsia="宋体" w:cs="Times New Roman"/>
                <w:i w:val="0"/>
                <w:iCs w:val="0"/>
                <w:color w:val="000000"/>
                <w:sz w:val="16"/>
                <w:szCs w:val="16"/>
                <w:highlight w:val="none"/>
                <w:u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69"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5.3.3</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屋顶的绿化面积占屋顶可绿化总面积的比例不应小于60%（设计分值为2分）。</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46"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highlight w:val="yellow"/>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详建筑施工图：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12" w:hRule="atLeast"/>
        </w:trPr>
        <w:tc>
          <w:tcPr>
            <w:tcW w:w="58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5.3.4</w:t>
            </w:r>
          </w:p>
        </w:tc>
        <w:tc>
          <w:tcPr>
            <w:tcW w:w="354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应优化建筑围护结构的热工性能，围护结构热工性能宜比国家现行相关建筑节能设计标准规定的提高幅度达到25%，或建筑供暖空调负荷降低20％（设计分值</w:t>
            </w:r>
            <w:r>
              <w:rPr>
                <w:rFonts w:hint="eastAsia" w:cs="Times New Roman"/>
                <w:i w:val="0"/>
                <w:iCs w:val="0"/>
                <w:color w:val="000000"/>
                <w:kern w:val="0"/>
                <w:sz w:val="16"/>
                <w:szCs w:val="16"/>
                <w:u w:val="none"/>
                <w:lang w:val="en-US" w:eastAsia="zh-CN" w:bidi="ar"/>
              </w:rPr>
              <w:t>为</w:t>
            </w:r>
            <w:r>
              <w:rPr>
                <w:rFonts w:hint="default" w:ascii="Times New Roman" w:hAnsi="Times New Roman" w:eastAsia="宋体" w:cs="Times New Roman"/>
                <w:i w:val="0"/>
                <w:iCs w:val="0"/>
                <w:color w:val="000000"/>
                <w:kern w:val="0"/>
                <w:sz w:val="16"/>
                <w:szCs w:val="16"/>
                <w:u w:val="none"/>
                <w:lang w:val="en-US" w:eastAsia="zh-CN" w:bidi="ar"/>
              </w:rPr>
              <w:t>2分）。</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546"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详建筑施工图：</w:t>
            </w:r>
          </w:p>
          <w:p>
            <w:pPr>
              <w:keepNext w:val="0"/>
              <w:keepLines w:val="0"/>
              <w:pageBreakBefore w:val="0"/>
              <w:kinsoku/>
              <w:wordWrap/>
              <w:overflowPunct/>
              <w:topLinePunct w:val="0"/>
              <w:bidi w:val="0"/>
              <w:spacing w:line="200" w:lineRule="exact"/>
              <w:rPr>
                <w:rFonts w:hint="eastAsia" w:eastAsia="宋体"/>
                <w:color w:val="auto"/>
                <w:kern w:val="0"/>
                <w:sz w:val="16"/>
                <w:szCs w:val="16"/>
                <w:lang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eastAsia="宋体" w:cs="Times New Roman"/>
                <w:i w:val="0"/>
                <w:iCs w:val="0"/>
                <w:color w:val="000000"/>
                <w:kern w:val="0"/>
                <w:sz w:val="16"/>
                <w:szCs w:val="16"/>
                <w:u w:val="none"/>
                <w:lang w:val="en-US" w:eastAsia="zh-CN" w:bidi="ar"/>
              </w:rPr>
              <w:t>围护结构热工性能</w:t>
            </w:r>
            <w:r>
              <w:rPr>
                <w:rFonts w:hint="eastAsia" w:ascii="Times New Roman" w:hAnsi="Times New Roman" w:eastAsia="宋体" w:cs="Times New Roman"/>
                <w:i w:val="0"/>
                <w:iCs w:val="0"/>
                <w:color w:val="000000"/>
                <w:kern w:val="0"/>
                <w:sz w:val="16"/>
                <w:szCs w:val="16"/>
                <w:u w:val="none"/>
                <w:lang w:val="en-US" w:eastAsia="zh-CN" w:bidi="ar"/>
              </w:rPr>
              <w:t>提升</w:t>
            </w:r>
            <w:r>
              <w:rPr>
                <w:rFonts w:hint="eastAsia"/>
                <w:color w:val="auto"/>
                <w:kern w:val="0"/>
                <w:sz w:val="16"/>
                <w:szCs w:val="16"/>
              </w:rPr>
              <w:t>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0" w:hRule="atLeast"/>
        </w:trPr>
        <w:tc>
          <w:tcPr>
            <w:tcW w:w="4124"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36" o:spt="75" type="#_x0000_t75" style="height:14.75pt;width:14.8pt;" o:ole="t" filled="f" o:preferrelative="t" stroked="f" coordsize="21600,21600">
                  <v:path/>
                  <v:fill on="f" focussize="0,0"/>
                  <v:stroke on="f"/>
                  <v:imagedata r:id="rId20" o:title=""/>
                  <o:lock v:ext="edit" aspectratio="t"/>
                  <w10:wrap type="none"/>
                  <w10:anchorlock/>
                </v:shape>
                <o:OLEObject Type="Embed" ProgID="Equation.KSEE3" ShapeID="_x0000_i1036" DrawAspect="Content" ObjectID="_1468075736" r:id="rId30">
                  <o:LockedField>false</o:LockedField>
                </o:OLEObject>
              </w:objec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546"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49" w:hRule="atLeast"/>
        </w:trPr>
        <w:tc>
          <w:tcPr>
            <w:tcW w:w="4124" w:type="dxa"/>
            <w:gridSpan w:val="2"/>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37" o:spt="75" type="#_x0000_t75" style="height:25.45pt;width:85.05pt;" o:ole="t" filled="f" o:preferrelative="t" stroked="f" coordsize="21600,21600">
                  <v:path/>
                  <v:fill on="f" focussize="0,0"/>
                  <v:stroke on="f"/>
                  <v:imagedata r:id="rId22" o:title=""/>
                  <o:lock v:ext="edit" aspectratio="t"/>
                  <w10:wrap type="none"/>
                  <w10:anchorlock/>
                </v:shape>
                <o:OLEObject Type="Embed" ProgID="Equation.KSEE3" ShapeID="_x0000_i1037" DrawAspect="Content" ObjectID="_1468075737" r:id="rId31">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38" o:spt="75" type="#_x0000_t75" style="height:15.6pt;width:13.05pt;" o:ole="t" filled="f" o:preferrelative="t" stroked="f" coordsize="21600,21600">
                  <v:path/>
                  <v:fill on="f" focussize="0,0"/>
                  <v:stroke on="f"/>
                  <v:imagedata r:id="rId24" o:title=""/>
                  <o:lock v:ext="edit" aspectratio="t"/>
                  <w10:wrap type="none"/>
                  <w10:anchorlock/>
                </v:shape>
                <o:OLEObject Type="Embed" ProgID="Equation.KSEE3" ShapeID="_x0000_i1038" DrawAspect="Content" ObjectID="_1468075738" r:id="rId32">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546" w:type="dxa"/>
            <w:tcBorders>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35" w:hRule="atLeast"/>
        </w:trPr>
        <w:tc>
          <w:tcPr>
            <w:tcW w:w="4124" w:type="dxa"/>
            <w:gridSpan w:val="2"/>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1987" w:type="dxa"/>
            <w:gridSpan w:val="2"/>
            <w:tcBorders>
              <w:top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本表由建筑专业填写，并</w:t>
      </w:r>
      <w:r>
        <w:rPr>
          <w:rFonts w:hint="eastAsia" w:cs="Times New Roman"/>
          <w:i w:val="0"/>
          <w:iCs w:val="0"/>
          <w:color w:val="000000"/>
          <w:kern w:val="0"/>
          <w:sz w:val="15"/>
          <w:szCs w:val="15"/>
          <w:u w:val="none"/>
          <w:lang w:val="en-US" w:eastAsia="zh-CN" w:bidi="ar"/>
        </w:rPr>
        <w:t>编入</w:t>
      </w:r>
      <w:r>
        <w:rPr>
          <w:rFonts w:hint="default" w:ascii="Times New Roman" w:hAnsi="Times New Roman" w:eastAsia="宋体" w:cs="Times New Roman"/>
          <w:i w:val="0"/>
          <w:iCs w:val="0"/>
          <w:color w:val="000000"/>
          <w:kern w:val="0"/>
          <w:sz w:val="15"/>
          <w:szCs w:val="15"/>
          <w:u w:val="none"/>
          <w:lang w:val="en-US" w:eastAsia="zh-CN" w:bidi="ar"/>
        </w:rPr>
        <w:t>建筑专业绿色建筑专篇，基本级绿色建筑设计可删除星级设计要求和提高与创新的相关内容；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4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表中带</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的条文包含有绿色建筑设计一星级必达标条款</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 xml:space="preserve">5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p>
    <w:p>
      <w:pPr>
        <w:pStyle w:val="41"/>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default" w:ascii="Times New Roman" w:hAnsi="Times New Roman" w:cs="Times New Roman"/>
          <w:color w:val="auto"/>
        </w:rPr>
      </w:pPr>
    </w:p>
    <w:p>
      <w:pPr>
        <w:pStyle w:val="41"/>
        <w:keepNext w:val="0"/>
        <w:keepLines w:val="0"/>
        <w:pageBreakBefore w:val="0"/>
        <w:widowControl w:val="0"/>
        <w:kinsoku/>
        <w:wordWrap/>
        <w:overflowPunct/>
        <w:topLinePunct w:val="0"/>
        <w:autoSpaceDE w:val="0"/>
        <w:autoSpaceDN w:val="0"/>
        <w:bidi w:val="0"/>
        <w:adjustRightInd w:val="0"/>
        <w:snapToGrid/>
        <w:spacing w:line="320" w:lineRule="exact"/>
        <w:textAlignment w:val="auto"/>
        <w:rPr>
          <w:rFonts w:hint="default" w:ascii="Times New Roman" w:hAnsi="Times New Roman" w:cs="Times New Roman"/>
          <w:color w:val="auto"/>
        </w:rPr>
        <w:sectPr>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p>
    <w:p>
      <w:pPr>
        <w:spacing w:before="249" w:beforeLines="80" w:after="62" w:afterLines="20" w:line="240" w:lineRule="auto"/>
        <w:jc w:val="center"/>
        <w:outlineLvl w:val="1"/>
        <w:rPr>
          <w:rFonts w:hint="default" w:ascii="Times New Roman" w:hAnsi="Times New Roman" w:eastAsia="黑体" w:cs="Times New Roman"/>
          <w:b w:val="0"/>
          <w:bCs w:val="0"/>
          <w:color w:val="auto"/>
          <w:sz w:val="18"/>
          <w:szCs w:val="18"/>
        </w:rPr>
      </w:pPr>
      <w:bookmarkStart w:id="30" w:name="_Toc29485"/>
      <w:bookmarkStart w:id="31" w:name="_Toc20337"/>
      <w:bookmarkStart w:id="32" w:name="_Toc25040"/>
      <w:bookmarkStart w:id="33" w:name="_Toc32040"/>
      <w:bookmarkStart w:id="34" w:name="_Toc15357"/>
      <w:bookmarkStart w:id="35" w:name="_Toc1817"/>
      <w:bookmarkStart w:id="36" w:name="_Toc1966"/>
      <w:r>
        <w:rPr>
          <w:rFonts w:hint="default" w:ascii="Times New Roman" w:hAnsi="Times New Roman" w:eastAsia="黑体" w:cs="Times New Roman"/>
          <w:b w:val="0"/>
          <w:bCs w:val="0"/>
          <w:color w:val="auto"/>
          <w:sz w:val="18"/>
          <w:szCs w:val="18"/>
        </w:rPr>
        <w:t>表C-4  结构设计绿色建筑技术措施汇总表</w:t>
      </w:r>
      <w:bookmarkEnd w:id="30"/>
      <w:bookmarkEnd w:id="31"/>
      <w:bookmarkEnd w:id="32"/>
      <w:bookmarkEnd w:id="33"/>
      <w:bookmarkEnd w:id="34"/>
      <w:bookmarkEnd w:id="35"/>
      <w:bookmarkEnd w:id="36"/>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12"/>
        <w:gridCol w:w="3902"/>
        <w:gridCol w:w="444"/>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90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25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67"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6.1.1</w:t>
            </w:r>
          </w:p>
        </w:tc>
        <w:tc>
          <w:tcPr>
            <w:tcW w:w="390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建筑结构应满足承载力和建筑使用功能要求。围护结构应与建筑主体结构连接可靠，并应满足安全、耐久的要求。</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结构计算书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46"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6.1.2</w:t>
            </w:r>
          </w:p>
        </w:tc>
        <w:tc>
          <w:tcPr>
            <w:tcW w:w="390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结构设计应满足抗震概念设计的要求，并符合下列规定：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不应采用严重不规则的结构方案；</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对特别不规则的建筑结构应进行专门研究和论证，采取特别的加强措施，高层建筑尚应符合超限高层建筑工程抗震设防专项审查的要求。</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□结构计算书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02"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6.1.3</w:t>
            </w:r>
          </w:p>
        </w:tc>
        <w:tc>
          <w:tcPr>
            <w:tcW w:w="390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山区建筑场地勘察应有边坡稳定性评价和防治方案建议；应根据地质、地形条件和使用要求，因地制宜设置符合抗震设防要求的边坡工程，确保建筑场地的稳定性。</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w:t>
            </w:r>
            <w:r>
              <w:rPr>
                <w:rFonts w:hint="eastAsia"/>
                <w:color w:val="auto"/>
                <w:kern w:val="0"/>
                <w:sz w:val="16"/>
                <w:szCs w:val="16"/>
                <w:lang w:eastAsia="zh-CN"/>
              </w:rPr>
              <w:t>地勘报告</w:t>
            </w:r>
            <w:r>
              <w:rPr>
                <w:rFonts w:hint="eastAsia" w:ascii="Times New Roman" w:hAnsi="Times New Roman" w:eastAsia="宋体" w:cs="Times New Roman"/>
                <w:i w:val="0"/>
                <w:iCs w:val="0"/>
                <w:color w:val="000000"/>
                <w:sz w:val="16"/>
                <w:szCs w:val="16"/>
                <w:u w:val="none"/>
                <w:lang w:val="en-US" w:eastAsia="zh-CN"/>
              </w:rPr>
              <w:t xml:space="preserve"> </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77"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6.1.4</w:t>
            </w:r>
          </w:p>
        </w:tc>
        <w:tc>
          <w:tcPr>
            <w:tcW w:w="390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现浇混凝土应采用预拌混凝土，建筑砂浆应采用预拌砂浆。</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1" w:hRule="atLeast"/>
        </w:trPr>
        <w:tc>
          <w:tcPr>
            <w:tcW w:w="51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6.1.5</w:t>
            </w:r>
          </w:p>
        </w:tc>
        <w:tc>
          <w:tcPr>
            <w:tcW w:w="390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混凝土结构中梁、柱纵向受力普通钢筋应采用不低于400MPa级的热轧带肋钢筋。</w:t>
            </w:r>
          </w:p>
        </w:tc>
        <w:tc>
          <w:tcPr>
            <w:tcW w:w="444"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12" w:hRule="atLeast"/>
        </w:trPr>
        <w:tc>
          <w:tcPr>
            <w:tcW w:w="51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6.1.6</w:t>
            </w:r>
          </w:p>
        </w:tc>
        <w:tc>
          <w:tcPr>
            <w:tcW w:w="3902"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主体结构应预留非结构构件、设备及附属设施的连接点或预埋件，并应进行连接节点的承载力验算。</w:t>
            </w:r>
          </w:p>
        </w:tc>
        <w:tc>
          <w:tcPr>
            <w:tcW w:w="444"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□结构计算书</w:t>
            </w:r>
            <w:r>
              <w:rPr>
                <w:rFonts w:hint="eastAsia" w:ascii="Times New Roman" w:hAnsi="Times New Roman" w:eastAsia="宋体" w:cs="Times New Roman"/>
                <w:i w:val="0"/>
                <w:iCs w:val="0"/>
                <w:color w:val="000000"/>
                <w:sz w:val="16"/>
                <w:szCs w:val="16"/>
                <w:highlight w:val="none"/>
                <w:u w:val="none"/>
                <w:lang w:val="en-US" w:eastAsia="zh-CN"/>
              </w:rPr>
              <w:t xml:space="preserve"> </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68" w:hRule="atLeast"/>
        </w:trPr>
        <w:tc>
          <w:tcPr>
            <w:tcW w:w="51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6.1.7</w:t>
            </w:r>
          </w:p>
        </w:tc>
        <w:tc>
          <w:tcPr>
            <w:tcW w:w="3902"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大跨度楼盖结构应具有适宜的舒适度；房屋高度不小于150m的高层建筑应满足风振舒适度要求。</w:t>
            </w:r>
          </w:p>
        </w:tc>
        <w:tc>
          <w:tcPr>
            <w:tcW w:w="44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53"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□结构计算书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4</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12"/>
        <w:gridCol w:w="3458"/>
        <w:gridCol w:w="444"/>
        <w:gridCol w:w="444"/>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5"/>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不适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用分</w:t>
            </w:r>
          </w:p>
        </w:tc>
        <w:tc>
          <w:tcPr>
            <w:tcW w:w="125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93"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6.2.1</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应采用基于性能的结构抗震设计并合理提高建筑的抗震性能（设计分值为10分）。</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□结构计算书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68"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6.2.2</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建筑结构的规则性应满足现行国家标准《建筑抗震设计规范》GB 50011的规定，并应符合下列要求（设计分值为9分）： </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建筑结构的规则性属于不规则类型（6分）；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建筑结构的规则性属于规则类型（9分）。</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□详结构施工图：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w:t>
            </w:r>
            <w:r>
              <w:rPr>
                <w:rFonts w:hint="eastAsia" w:ascii="Times New Roman" w:hAnsi="Times New Roman" w:eastAsia="宋体" w:cs="Times New Roman"/>
                <w:i w:val="0"/>
                <w:iCs w:val="0"/>
                <w:color w:val="000000"/>
                <w:sz w:val="16"/>
                <w:szCs w:val="16"/>
                <w:highlight w:val="none"/>
                <w:u w:val="none"/>
                <w:lang w:val="en-US" w:eastAsia="zh-CN"/>
              </w:rPr>
              <w:t>规则性判定报告</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color w:val="auto"/>
                <w:kern w:val="0"/>
                <w:sz w:val="16"/>
                <w:szCs w:val="16"/>
                <w:highlight w:val="none"/>
              </w:rPr>
              <w:t>□结构计算书</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66" w:hRule="atLeast"/>
        </w:trPr>
        <w:tc>
          <w:tcPr>
            <w:tcW w:w="51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6.2.3</w:t>
            </w:r>
          </w:p>
        </w:tc>
        <w:tc>
          <w:tcPr>
            <w:tcW w:w="345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结合建筑的地质条件、建筑功能、抗震设防烈度、施工工艺等，对地基基础方案、结构主体方案和结构构件选型等方面进行优化设计，并应经论证分析取得较好的节材效果，每在一方面进行优化设计，可得2分（设计分值为6分）。</w:t>
            </w:r>
          </w:p>
        </w:tc>
        <w:tc>
          <w:tcPr>
            <w:tcW w:w="444"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 xml:space="preserve">□详结构施工图： </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□节材优化设计报告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35" w:hRule="atLeast"/>
        </w:trPr>
        <w:tc>
          <w:tcPr>
            <w:tcW w:w="51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6.2.4</w:t>
            </w:r>
          </w:p>
        </w:tc>
        <w:tc>
          <w:tcPr>
            <w:tcW w:w="345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应提高建筑结构材料的耐久性，并应符合下列要求（设计分值为10分）：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应按100年进行耐久性设计（10分）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采用耐久性能好的建筑结构材料，并应满足下列条件之一（10分）：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1）对于混凝土构件，应提高钢筋保护层厚度或采用高耐久混凝土；</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2）对于钢构件，应采用耐候结构钢或耐候型防腐涂料；</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  3）对于木构件，应采用防腐木材、耐久木材或耐久木制品。</w:t>
            </w:r>
          </w:p>
        </w:tc>
        <w:tc>
          <w:tcPr>
            <w:tcW w:w="444"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 xml:space="preserve">□详结构施工图： </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4</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12"/>
        <w:gridCol w:w="3458"/>
        <w:gridCol w:w="444"/>
        <w:gridCol w:w="444"/>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499" w:hRule="atLeast"/>
        </w:trPr>
        <w:tc>
          <w:tcPr>
            <w:tcW w:w="51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6.2.5</w:t>
            </w:r>
          </w:p>
        </w:tc>
        <w:tc>
          <w:tcPr>
            <w:tcW w:w="345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应合理选用建筑结构材料与构件，并应符合下列要求（设计分值为10分）：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混凝土结构应符合下列要求：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1）400MPa级及以上强度等级钢筋应用比例达到85%（5分）；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2）混凝土竖向承重结构采用强度等级不小于C50混凝土用量占竖向承重结构中混凝土总量的比例达到50%（5分）。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钢结构应符合下列要求：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1）Q355及以上高强钢材用量占钢材总量的比例达到50%（3分）；达到70%（4分）；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2）螺栓连接等非现场焊接节点占现场全部连接、拼接节点的数量比例达到50%（4分）；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3）采用施工时免支撑的楼屋面板（2分）。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混合结构：对其混凝土结构部分、钢结构部分，分别按本条第1款、第2款进行设计，得分取各项得分的平均值。</w:t>
            </w:r>
          </w:p>
        </w:tc>
        <w:tc>
          <w:tcPr>
            <w:tcW w:w="44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□高强度材料用量比例计算</w:t>
            </w:r>
            <w:r>
              <w:rPr>
                <w:rFonts w:hint="eastAsia"/>
                <w:color w:val="auto"/>
                <w:kern w:val="0"/>
                <w:sz w:val="16"/>
                <w:szCs w:val="16"/>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68" w:hRule="atLeast"/>
        </w:trPr>
        <w:tc>
          <w:tcPr>
            <w:tcW w:w="51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6.2.6</w:t>
            </w:r>
          </w:p>
        </w:tc>
        <w:tc>
          <w:tcPr>
            <w:tcW w:w="345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结构设计应选用可再循环材料、可再利用材料及利废建材，并应符合下列要求（设计分值为12分）：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可再循环材料和可再利用材料用量比例应符合下列要求：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1）住宅建筑应达到6%或公共建筑应达到10%（3分）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2）住宅建筑应达到10%或公共建筑应达到15%（6分）。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利废建材选用及根据其用量比例应符合下列要求：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  1）应采用一种利废建材，其占同类建材的用量比例不应低于50%（3分）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  2）应选用两种及以上的利废建材，每一种占同类建材的用量比例均不应低于30%（6分）。</w:t>
            </w:r>
          </w:p>
        </w:tc>
        <w:tc>
          <w:tcPr>
            <w:tcW w:w="444"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□详结构施工图：</w:t>
            </w:r>
          </w:p>
          <w:p>
            <w:pPr>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□可再利用和可再循环材料使用比例计算</w:t>
            </w:r>
            <w:r>
              <w:rPr>
                <w:rFonts w:hint="eastAsia"/>
                <w:color w:val="auto"/>
                <w:kern w:val="0"/>
                <w:sz w:val="16"/>
                <w:szCs w:val="16"/>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49" w:hRule="atLeast"/>
        </w:trPr>
        <w:tc>
          <w:tcPr>
            <w:tcW w:w="51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6.2.7</w:t>
            </w:r>
          </w:p>
        </w:tc>
        <w:tc>
          <w:tcPr>
            <w:tcW w:w="345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预拌混凝土和预拌砂浆应选用带有绿色建材标识的产品，并应符合下列要求（设计分值为12分）：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预拌混凝土应选用带有绿色建材标识的产品（6分）；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预拌砂浆应选用带有绿色建材标识的产品（6分）。</w:t>
            </w:r>
          </w:p>
        </w:tc>
        <w:tc>
          <w:tcPr>
            <w:tcW w:w="444"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53"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 xml:space="preserve">□详结构施工图： </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50" w:hRule="atLeast"/>
        </w:trPr>
        <w:tc>
          <w:tcPr>
            <w:tcW w:w="3970"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39" o:spt="75" type="#_x0000_t75" style="height:14.15pt;width:11.8pt;" o:ole="t" filled="f" o:preferrelative="t" stroked="f" coordsize="21600,21600">
                  <v:path/>
                  <v:fill on="f" focussize="0,0"/>
                  <v:stroke on="f"/>
                  <v:imagedata r:id="rId12" o:title=""/>
                  <o:lock v:ext="edit" aspectratio="t"/>
                  <w10:wrap type="none"/>
                  <w10:anchorlock/>
                </v:shape>
                <o:OLEObject Type="Embed" ProgID="Equation.KSEE3" ShapeID="_x0000_i1039" DrawAspect="Content" ObjectID="_1468075739" r:id="rId33">
                  <o:LockedField>false</o:LockedField>
                </o:OLEObject>
              </w:object>
            </w:r>
          </w:p>
        </w:tc>
        <w:tc>
          <w:tcPr>
            <w:tcW w:w="44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444"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253"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4</w:t>
      </w:r>
    </w:p>
    <w:tbl>
      <w:tblPr>
        <w:tblStyle w:val="34"/>
        <w:tblW w:w="611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12"/>
        <w:gridCol w:w="3458"/>
        <w:gridCol w:w="444"/>
        <w:gridCol w:w="444"/>
        <w:gridCol w:w="12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8" w:hRule="atLeast"/>
        </w:trPr>
        <w:tc>
          <w:tcPr>
            <w:tcW w:w="3970" w:type="dxa"/>
            <w:gridSpan w:val="2"/>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40"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40" DrawAspect="Content" ObjectID="_1468075740" r:id="rId34">
                  <o:LockedField>false</o:LockedField>
                </o:OLEObject>
              </w:object>
            </w:r>
          </w:p>
        </w:tc>
        <w:tc>
          <w:tcPr>
            <w:tcW w:w="444"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44"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253"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970"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41"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41" DrawAspect="Content" ObjectID="_1468075741" r:id="rId35">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42" o:spt="75" type="#_x0000_t75" style="height:15.9pt;width:17.9pt;" o:ole="t" filled="f" o:preferrelative="t" stroked="f" coordsize="21600,21600">
                  <v:path/>
                  <v:fill on="f" focussize="0,0"/>
                  <v:stroke on="f"/>
                  <v:imagedata r:id="rId18" o:title=""/>
                  <o:lock v:ext="edit" aspectratio="t"/>
                  <w10:wrap type="none"/>
                  <w10:anchorlock/>
                </v:shape>
                <o:OLEObject Type="Embed" ProgID="Equation.KSEE3" ShapeID="_x0000_i1042" DrawAspect="Content" ObjectID="_1468075742" r:id="rId36">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w:t>
            </w:r>
            <w:r>
              <w:rPr>
                <w:rFonts w:hint="eastAsia" w:ascii="Times New Roman" w:hAnsi="Times New Roman" w:eastAsia="宋体" w:cs="Times New Roman"/>
                <w:i w:val="0"/>
                <w:iCs w:val="0"/>
                <w:color w:val="000000"/>
                <w:kern w:val="0"/>
                <w:sz w:val="16"/>
                <w:szCs w:val="16"/>
                <w:u w:val="none"/>
                <w:lang w:val="en-US" w:eastAsia="zh-CN" w:bidi="ar"/>
              </w:rPr>
              <w:t>69</w:t>
            </w:r>
            <w:r>
              <w:rPr>
                <w:rFonts w:hint="default" w:ascii="Times New Roman" w:hAnsi="Times New Roman" w:cs="Times New Roman"/>
                <w:i w:val="0"/>
                <w:lang w:val="en-US" w:eastAsia="zh-CN"/>
              </w:rPr>
              <w:t>）</w:t>
            </w:r>
          </w:p>
        </w:tc>
        <w:tc>
          <w:tcPr>
            <w:tcW w:w="444"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25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1"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00"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4"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自评得分</w:t>
            </w:r>
          </w:p>
        </w:tc>
        <w:tc>
          <w:tcPr>
            <w:tcW w:w="1697"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20"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6.3.1</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宜采用符合工业化建造要求的结构体系与建筑构件，并宜符合下列要求（设计分值为2分）：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主体结构宜采用钢结构、木结构（2分）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主体结构宜采用装配式混凝土结构，装配率不低于50%（1分）；大于60%（1.5分）；大于75%（2分）。</w:t>
            </w:r>
          </w:p>
        </w:tc>
        <w:tc>
          <w:tcPr>
            <w:tcW w:w="444"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97" w:type="dxa"/>
            <w:gridSpan w:val="2"/>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详结构施工图：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□预制构件统计和占比计算报告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44" w:hRule="atLeast"/>
        </w:trPr>
        <w:tc>
          <w:tcPr>
            <w:tcW w:w="51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6.3.2</w:t>
            </w:r>
          </w:p>
        </w:tc>
        <w:tc>
          <w:tcPr>
            <w:tcW w:w="345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结构设计宜采用建筑信息模型（BIM）技术（设计分值为1分）。</w:t>
            </w:r>
          </w:p>
        </w:tc>
        <w:tc>
          <w:tcPr>
            <w:tcW w:w="444"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97" w:type="dxa"/>
            <w:gridSpan w:val="2"/>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cs="Times New Roman"/>
                <w:color w:val="auto"/>
                <w:kern w:val="0"/>
                <w:sz w:val="16"/>
                <w:szCs w:val="16"/>
              </w:rPr>
              <w:t>BIM</w:t>
            </w:r>
            <w:r>
              <w:rPr>
                <w:rFonts w:hint="eastAsia"/>
                <w:color w:val="auto"/>
                <w:kern w:val="0"/>
                <w:sz w:val="16"/>
                <w:szCs w:val="16"/>
              </w:rPr>
              <w:t>技术应用报告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60" w:hRule="atLeast"/>
        </w:trPr>
        <w:tc>
          <w:tcPr>
            <w:tcW w:w="3970"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43" o:spt="75" type="#_x0000_t75" style="height:14.15pt;width:14.2pt;" o:ole="t" filled="f" o:preferrelative="t" stroked="f" coordsize="21600,21600">
                  <v:path/>
                  <v:fill on="f" focussize="0,0"/>
                  <v:stroke on="f"/>
                  <v:imagedata r:id="rId20" o:title=""/>
                  <o:lock v:ext="edit" aspectratio="t"/>
                  <w10:wrap type="none"/>
                  <w10:anchorlock/>
                </v:shape>
                <o:OLEObject Type="Embed" ProgID="Equation.KSEE3" ShapeID="_x0000_i1043" DrawAspect="Content" ObjectID="_1468075743" r:id="rId37">
                  <o:LockedField>false</o:LockedField>
                </o:OLEObject>
              </w:object>
            </w:r>
          </w:p>
        </w:tc>
        <w:tc>
          <w:tcPr>
            <w:tcW w:w="444"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697"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970" w:type="dxa"/>
            <w:gridSpan w:val="2"/>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44" o:spt="75" type="#_x0000_t75" style="height:23.75pt;width:79.35pt;" o:ole="t" filled="f" o:preferrelative="t" stroked="f" coordsize="21600,21600">
                  <v:path/>
                  <v:fill on="f" focussize="0,0"/>
                  <v:stroke on="f"/>
                  <v:imagedata r:id="rId22" o:title=""/>
                  <o:lock v:ext="edit" aspectratio="t"/>
                  <w10:wrap type="none"/>
                  <w10:anchorlock/>
                </v:shape>
                <o:OLEObject Type="Embed" ProgID="Equation.KSEE3" ShapeID="_x0000_i1044" DrawAspect="Content" ObjectID="_1468075744" r:id="rId38">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45" o:spt="75" type="#_x0000_t75" style="height:14.15pt;width:11.85pt;" o:ole="t" filled="f" o:preferrelative="t" stroked="f" coordsize="21600,21600">
                  <v:path/>
                  <v:fill on="f" focussize="0,0"/>
                  <v:stroke on="f"/>
                  <v:imagedata r:id="rId24" o:title=""/>
                  <o:lock v:ext="edit" aspectratio="t"/>
                  <w10:wrap type="none"/>
                  <w10:anchorlock/>
                </v:shape>
                <o:OLEObject Type="Embed" ProgID="Equation.KSEE3" ShapeID="_x0000_i1045" DrawAspect="Content" ObjectID="_1468075745" r:id="rId39">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44"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697" w:type="dxa"/>
            <w:gridSpan w:val="2"/>
            <w:tcBorders>
              <w:bottom w:val="single" w:color="auto" w:sz="4"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82" w:hRule="atLeast"/>
        </w:trPr>
        <w:tc>
          <w:tcPr>
            <w:tcW w:w="3970" w:type="dxa"/>
            <w:gridSpan w:val="2"/>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2141" w:type="dxa"/>
            <w:gridSpan w:val="3"/>
            <w:tcBorders>
              <w:top w:val="single" w:color="auto" w:sz="4"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本表由结构专业填写，并</w:t>
      </w:r>
      <w:r>
        <w:rPr>
          <w:rFonts w:hint="eastAsia" w:cs="Times New Roman"/>
          <w:i w:val="0"/>
          <w:iCs w:val="0"/>
          <w:color w:val="000000"/>
          <w:kern w:val="0"/>
          <w:sz w:val="15"/>
          <w:szCs w:val="15"/>
          <w:u w:val="none"/>
          <w:lang w:val="en-US" w:eastAsia="zh-CN" w:bidi="ar"/>
        </w:rPr>
        <w:t>编入</w:t>
      </w:r>
      <w:r>
        <w:rPr>
          <w:rFonts w:hint="default" w:ascii="Times New Roman" w:hAnsi="Times New Roman" w:eastAsia="宋体" w:cs="Times New Roman"/>
          <w:i w:val="0"/>
          <w:iCs w:val="0"/>
          <w:color w:val="000000"/>
          <w:kern w:val="0"/>
          <w:sz w:val="15"/>
          <w:szCs w:val="15"/>
          <w:u w:val="none"/>
          <w:lang w:val="en-US" w:eastAsia="zh-CN" w:bidi="ar"/>
        </w:rPr>
        <w:t>结构专业绿色建筑专篇，基本级绿色建筑设计可删除星级设计要求和提高与创新的相关内容；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 xml:space="preserve">4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p>
    <w:p>
      <w:pPr>
        <w:pStyle w:val="14"/>
        <w:rPr>
          <w:rFonts w:hint="default"/>
        </w:rPr>
      </w:pPr>
    </w:p>
    <w:p>
      <w:pPr>
        <w:bidi w:val="0"/>
        <w:rPr>
          <w:rFonts w:hint="default" w:ascii="Times New Roman" w:hAnsi="Times New Roman" w:cs="Times New Roman"/>
          <w:color w:val="auto"/>
        </w:rPr>
        <w:sectPr>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p>
    <w:p>
      <w:pPr>
        <w:spacing w:before="249" w:beforeLines="80" w:after="62" w:afterLines="20" w:line="240" w:lineRule="auto"/>
        <w:jc w:val="center"/>
        <w:outlineLvl w:val="1"/>
        <w:rPr>
          <w:rFonts w:hint="default" w:ascii="Times New Roman" w:hAnsi="Times New Roman" w:eastAsia="黑体" w:cs="Times New Roman"/>
          <w:b w:val="0"/>
          <w:bCs w:val="0"/>
          <w:color w:val="auto"/>
          <w:sz w:val="18"/>
          <w:szCs w:val="18"/>
        </w:rPr>
      </w:pPr>
      <w:bookmarkStart w:id="37" w:name="_Toc363"/>
      <w:bookmarkStart w:id="38" w:name="_Toc26415"/>
      <w:bookmarkStart w:id="39" w:name="_Toc663"/>
      <w:bookmarkStart w:id="40" w:name="_Toc13133"/>
      <w:bookmarkStart w:id="41" w:name="_Toc31362"/>
      <w:bookmarkStart w:id="42" w:name="_Toc12463"/>
      <w:bookmarkStart w:id="43" w:name="_Toc18706"/>
      <w:r>
        <w:rPr>
          <w:rFonts w:hint="default" w:ascii="Times New Roman" w:hAnsi="Times New Roman" w:eastAsia="黑体" w:cs="Times New Roman"/>
          <w:b w:val="0"/>
          <w:bCs w:val="0"/>
          <w:color w:val="auto"/>
          <w:sz w:val="18"/>
          <w:szCs w:val="18"/>
        </w:rPr>
        <w:t>表C-5  给</w:t>
      </w:r>
      <w:r>
        <w:rPr>
          <w:rFonts w:hint="eastAsia" w:ascii="Times New Roman" w:hAnsi="Times New Roman" w:eastAsia="黑体" w:cs="Times New Roman"/>
          <w:b w:val="0"/>
          <w:bCs w:val="0"/>
          <w:color w:val="auto"/>
          <w:sz w:val="18"/>
          <w:szCs w:val="18"/>
          <w:lang w:val="en-US" w:eastAsia="zh-CN"/>
        </w:rPr>
        <w:t>水</w:t>
      </w:r>
      <w:r>
        <w:rPr>
          <w:rFonts w:hint="default" w:ascii="Times New Roman" w:hAnsi="Times New Roman" w:eastAsia="黑体" w:cs="Times New Roman"/>
          <w:b w:val="0"/>
          <w:bCs w:val="0"/>
          <w:color w:val="auto"/>
          <w:sz w:val="18"/>
          <w:szCs w:val="18"/>
        </w:rPr>
        <w:t>排水设计绿色建筑技术措施汇总表</w:t>
      </w:r>
      <w:bookmarkEnd w:id="37"/>
      <w:bookmarkEnd w:id="38"/>
      <w:bookmarkEnd w:id="39"/>
      <w:bookmarkEnd w:id="40"/>
      <w:bookmarkEnd w:id="41"/>
      <w:bookmarkEnd w:id="42"/>
      <w:bookmarkEnd w:id="43"/>
    </w:p>
    <w:tbl>
      <w:tblPr>
        <w:tblStyle w:val="34"/>
        <w:tblW w:w="603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22"/>
        <w:gridCol w:w="3872"/>
        <w:gridCol w:w="445"/>
        <w:gridCol w:w="12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6030"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42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87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291"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93" w:hRule="atLeast"/>
          <w:jc w:val="center"/>
        </w:trPr>
        <w:tc>
          <w:tcPr>
            <w:tcW w:w="42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7.1.1</w:t>
            </w:r>
          </w:p>
        </w:tc>
        <w:tc>
          <w:tcPr>
            <w:tcW w:w="387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应制定水资源利用方案，统筹利用各种水资源。水资源利用方案应重点明确节水用水定额、编制用水量计算表。给水及热水平均日节水用水定额和年节水用水量应按现行国家标准《民用建筑节水设计标准》GB 50555确定，缺水地区的平均日用水量取值不应大于上限值和下限值的平均值。福建省各地市人均水资源占有量数据可按照本标准附录J执行，节水率的计算可按照本标准附录K执行。</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9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水资源利用方案</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jc w:val="center"/>
        </w:trPr>
        <w:tc>
          <w:tcPr>
            <w:tcW w:w="42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7.1.2</w:t>
            </w:r>
          </w:p>
        </w:tc>
        <w:tc>
          <w:tcPr>
            <w:tcW w:w="387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对大于10hm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的场地应进行雨水控制利用专项规划设计，小于10hm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的场地应编制雨水综合利用方案。雨水控制利用专项规划设计或雨水综合利用方案中应包括雨水径流控制途径方案或思路，雨水入渗、调蓄、回用措施，雨水基础设施的设置以及排放情况等。</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9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color w:val="auto"/>
                <w:kern w:val="0"/>
                <w:sz w:val="16"/>
                <w:szCs w:val="16"/>
                <w:lang w:val="en-US" w:eastAsia="zh-CN"/>
              </w:rPr>
            </w:pPr>
            <w:r>
              <w:rPr>
                <w:rFonts w:hint="eastAsia" w:ascii="Times New Roman" w:cs="Times New Roman"/>
                <w:i w:val="0"/>
                <w:iCs w:val="0"/>
                <w:color w:val="000000"/>
                <w:sz w:val="16"/>
                <w:szCs w:val="16"/>
                <w:highlight w:val="none"/>
                <w:u w:val="none"/>
                <w:lang w:val="en-US" w:eastAsia="zh-CN"/>
              </w:rPr>
              <w:t>□</w:t>
            </w:r>
            <w:r>
              <w:rPr>
                <w:rFonts w:hint="eastAsia"/>
                <w:color w:val="auto"/>
                <w:kern w:val="0"/>
                <w:sz w:val="16"/>
                <w:szCs w:val="16"/>
              </w:rPr>
              <w:t>雨水</w:t>
            </w:r>
            <w:r>
              <w:rPr>
                <w:rFonts w:hint="eastAsia"/>
                <w:color w:val="auto"/>
                <w:kern w:val="0"/>
                <w:sz w:val="16"/>
                <w:szCs w:val="16"/>
                <w:lang w:val="en-US" w:eastAsia="zh-CN"/>
              </w:rPr>
              <w:t>控制利用专项规划</w:t>
            </w:r>
          </w:p>
          <w:p>
            <w:pPr>
              <w:pStyle w:val="41"/>
              <w:keepNext w:val="0"/>
              <w:keepLines w:val="0"/>
              <w:pageBreakBefore w:val="0"/>
              <w:kinsoku/>
              <w:wordWrap/>
              <w:overflowPunct/>
              <w:topLinePunct w:val="0"/>
              <w:bidi w:val="0"/>
              <w:snapToGrid/>
              <w:spacing w:line="200" w:lineRule="exact"/>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雨水综合利用方案</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8" w:hRule="atLeast"/>
          <w:jc w:val="center"/>
        </w:trPr>
        <w:tc>
          <w:tcPr>
            <w:tcW w:w="42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7.1.3</w:t>
            </w:r>
          </w:p>
        </w:tc>
        <w:tc>
          <w:tcPr>
            <w:tcW w:w="3872"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给水排水系统设置应合理、完善、安全。供水水质应满足国家现行相关标准的要求。应按照项目的环境影响评价等文件的要求设置处理设施，污水应达标排放。</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9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45" w:hRule="atLeast"/>
          <w:jc w:val="center"/>
        </w:trPr>
        <w:tc>
          <w:tcPr>
            <w:tcW w:w="42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7.1.4</w:t>
            </w:r>
          </w:p>
        </w:tc>
        <w:tc>
          <w:tcPr>
            <w:tcW w:w="387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自建供水设施的供水管道严禁与城镇供水管道直接连接。</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9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868" w:hRule="atLeast"/>
          <w:jc w:val="center"/>
        </w:trPr>
        <w:tc>
          <w:tcPr>
            <w:tcW w:w="42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7.1.5</w:t>
            </w:r>
          </w:p>
        </w:tc>
        <w:tc>
          <w:tcPr>
            <w:tcW w:w="3872"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非传统水源供水系统必须采取安全措施，并应符合下列要求：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非传统水源供水系统必须独立设置；</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水池（箱）采用生活饮用水补水时，必须采用空气隔断的防止倒流措施，补水管应从水池（箱）上部或顶部接入，其出水管口最低点高出溢流边缘的空气间隙不应小于150mm，且不得小于进水管管径的2.5倍，补水管严禁采用淹没式浮球阀补水；</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管网中所有组件和附属设施的显著位置应设置非传统水源的耐久标识，埋地、暗敷管道应设置连续耐久标识，保证与生活饮用水管道严格区分；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管道取水接口处应设置</w:t>
            </w:r>
            <w:r>
              <w:rPr>
                <w:rFonts w:hint="eastAsia" w:ascii="宋体" w:hAnsi="宋体"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禁止饮用</w:t>
            </w:r>
            <w:r>
              <w:rPr>
                <w:rFonts w:hint="eastAsia" w:ascii="宋体" w:hAnsi="宋体"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的耐久标识，公共场所及绿化的取水口应设置采用专用工具才能打开的装置。</w:t>
            </w:r>
          </w:p>
        </w:tc>
        <w:tc>
          <w:tcPr>
            <w:tcW w:w="44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91"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811"/>
        <w:gridCol w:w="438"/>
        <w:gridCol w:w="12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63"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7.1.6</w:t>
            </w:r>
          </w:p>
        </w:tc>
        <w:tc>
          <w:tcPr>
            <w:tcW w:w="381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雨水和再生水等非传统水源在储存、输配等过程中应配有消毒杀菌设施，具有足够的消毒杀菌能力，不得对人体健康与周围环境产生不良影响。</w:t>
            </w:r>
          </w:p>
        </w:tc>
        <w:tc>
          <w:tcPr>
            <w:tcW w:w="43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keepNext w:val="0"/>
              <w:keepLines w:val="0"/>
              <w:pageBreakBefore w:val="0"/>
              <w:kinsoku/>
              <w:wordWrap/>
              <w:overflowPunct/>
              <w:topLinePunct w:val="0"/>
              <w:bidi w:val="0"/>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41"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7.1.7</w:t>
            </w:r>
          </w:p>
        </w:tc>
        <w:tc>
          <w:tcPr>
            <w:tcW w:w="381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采用再生水源供水的绿化灌溉系统不得使用喷灌方式。</w:t>
            </w:r>
          </w:p>
        </w:tc>
        <w:tc>
          <w:tcPr>
            <w:tcW w:w="43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keepNext w:val="0"/>
              <w:keepLines w:val="0"/>
              <w:pageBreakBefore w:val="0"/>
              <w:kinsoku/>
              <w:wordWrap/>
              <w:overflowPunct/>
              <w:topLinePunct w:val="0"/>
              <w:bidi w:val="0"/>
              <w:spacing w:line="200" w:lineRule="exact"/>
              <w:rPr>
                <w:rFonts w:hint="default"/>
                <w:color w:val="auto"/>
                <w:kern w:val="0"/>
                <w:sz w:val="16"/>
                <w:szCs w:val="16"/>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58"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7.1.8</w:t>
            </w:r>
          </w:p>
        </w:tc>
        <w:tc>
          <w:tcPr>
            <w:tcW w:w="381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采用海水冲厕时，应选用耐腐蚀的管材和设备，并宜对管材和设备进行防腐处理，污水应处理达标后排放。</w:t>
            </w:r>
          </w:p>
        </w:tc>
        <w:tc>
          <w:tcPr>
            <w:tcW w:w="43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29"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7.1.9</w:t>
            </w:r>
          </w:p>
        </w:tc>
        <w:tc>
          <w:tcPr>
            <w:tcW w:w="381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易于产生噪声的给水排水设备应进行隔振防噪设计，并应符合下列要求：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应选用低噪声设备，设备、管道应采用有效的减振、隔振、消声措施</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对产生振动的设备基础应采用隔振支架、隔振橡胶垫等隔振措施，管道应采用隔振吊架、隔振支撑、软接头等进行连接部位的隔振；</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冷却塔应采用隔振支撑，出风口宜安装消声器，并宜采用遮蔽措施。</w:t>
            </w:r>
          </w:p>
        </w:tc>
        <w:tc>
          <w:tcPr>
            <w:tcW w:w="43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98"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7.1.10</w:t>
            </w:r>
          </w:p>
        </w:tc>
        <w:tc>
          <w:tcPr>
            <w:tcW w:w="3811"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应采用节水器具和设备，且选用的卫生器具及配件应符合现行标准《节水型生活用水器具》CJ/T 164、《节水型产品通用技术条件》GB/T 18870的要求。便器应构造内自带水封，且其水封深度不应小于50mm。</w:t>
            </w:r>
          </w:p>
        </w:tc>
        <w:tc>
          <w:tcPr>
            <w:tcW w:w="43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68"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7.1.11</w:t>
            </w:r>
          </w:p>
        </w:tc>
        <w:tc>
          <w:tcPr>
            <w:tcW w:w="381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给水系统设计应节水、节能，并应采取下列措施：</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应充分利用市政供水压力直接供水，二次加压供水应优先采用管网叠压供水技术；</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各级加压给水应比选优化给水方式，合理配置加压给水设施</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水泵房的布置宜靠近用水大户；</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生活给水系统应合理分区，各竖向分区最低卫生器具配水点处静水压力不</w:t>
            </w:r>
            <w:r>
              <w:rPr>
                <w:rFonts w:hint="eastAsia" w:cs="Times New Roman"/>
                <w:i w:val="0"/>
                <w:iCs w:val="0"/>
                <w:color w:val="000000"/>
                <w:kern w:val="0"/>
                <w:sz w:val="16"/>
                <w:szCs w:val="16"/>
                <w:u w:val="none"/>
                <w:lang w:val="en-US" w:eastAsia="zh-CN" w:bidi="ar"/>
              </w:rPr>
              <w:t>宜</w:t>
            </w:r>
            <w:r>
              <w:rPr>
                <w:rFonts w:hint="default" w:ascii="Times New Roman" w:hAnsi="Times New Roman" w:eastAsia="宋体" w:cs="Times New Roman"/>
                <w:i w:val="0"/>
                <w:iCs w:val="0"/>
                <w:color w:val="000000"/>
                <w:kern w:val="0"/>
                <w:sz w:val="16"/>
                <w:szCs w:val="16"/>
                <w:u w:val="none"/>
                <w:lang w:val="en-US" w:eastAsia="zh-CN" w:bidi="ar"/>
              </w:rPr>
              <w:t>大于0.45MPa；当设有集中热水系统时，不</w:t>
            </w:r>
            <w:r>
              <w:rPr>
                <w:rFonts w:hint="eastAsia" w:cs="Times New Roman"/>
                <w:i w:val="0"/>
                <w:iCs w:val="0"/>
                <w:color w:val="000000"/>
                <w:kern w:val="0"/>
                <w:sz w:val="16"/>
                <w:szCs w:val="16"/>
                <w:u w:val="none"/>
                <w:lang w:val="en-US" w:eastAsia="zh-CN" w:bidi="ar"/>
              </w:rPr>
              <w:t>宜</w:t>
            </w:r>
            <w:r>
              <w:rPr>
                <w:rFonts w:hint="default" w:ascii="Times New Roman" w:hAnsi="Times New Roman" w:eastAsia="宋体" w:cs="Times New Roman"/>
                <w:i w:val="0"/>
                <w:iCs w:val="0"/>
                <w:color w:val="000000"/>
                <w:kern w:val="0"/>
                <w:sz w:val="16"/>
                <w:szCs w:val="16"/>
                <w:u w:val="none"/>
                <w:lang w:val="en-US" w:eastAsia="zh-CN" w:bidi="ar"/>
              </w:rPr>
              <w:t>大于0.55MPa；</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应采取防止低位配水点超压的措施，用水点处水压大于0.20MPa的配水支管应采取减压设施，并应满足用水器具最低工作压力的要求。</w:t>
            </w:r>
          </w:p>
        </w:tc>
        <w:tc>
          <w:tcPr>
            <w:tcW w:w="43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73"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7"/>
        <w:gridCol w:w="445"/>
        <w:gridCol w:w="445"/>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96"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7.1.12</w:t>
            </w:r>
          </w:p>
        </w:tc>
        <w:tc>
          <w:tcPr>
            <w:tcW w:w="3872"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水表的设置应符合下列要求：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应按照使用用途，对公共厨房、公共卫生间、餐饮、绿化、景观、空调、游泳池、集中热水、消防、人防等用水分别设置水表；</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应按照每个付费或独立核算的管理单元分别设置水表；</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用水计量装置的设置尚应满足当地供水公司的用水计量分类要求，住宅建筑应根据当地规定，直接按照</w:t>
            </w:r>
            <w:r>
              <w:rPr>
                <w:rFonts w:hint="eastAsia" w:ascii="宋体" w:hAnsi="宋体"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一户一表</w:t>
            </w:r>
            <w:r>
              <w:rPr>
                <w:rFonts w:hint="eastAsia" w:ascii="宋体" w:hAnsi="宋体"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设计。</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38"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56"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7.1.13</w:t>
            </w:r>
          </w:p>
        </w:tc>
        <w:tc>
          <w:tcPr>
            <w:tcW w:w="3872"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垃圾收集点应配置冲洗龙头，并应设置防倒流污染措施。地漏应采用网框地漏。</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23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2" w:hRule="atLeast"/>
          <w:jc w:val="center"/>
        </w:trPr>
        <w:tc>
          <w:tcPr>
            <w:tcW w:w="6057"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1"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2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不适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用分</w:t>
            </w:r>
          </w:p>
        </w:tc>
        <w:tc>
          <w:tcPr>
            <w:tcW w:w="1238"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98"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w:t>
            </w:r>
          </w:p>
        </w:tc>
        <w:tc>
          <w:tcPr>
            <w:tcW w:w="342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生活饮用水池和水箱应采取保证储水不变质的措施，并符合下列规定（设计分值为8分）：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应使用符合国家现行有关标准要求的成品水箱（4分）；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水箱的设置宜便于维护管理，可采取分格、分座等技术措施，减少维修、清洗对使用的影响（2分）；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应设置超高水位报警功能，防止进水管阀门故障时的长时间溢流排水（2分）。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68"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w:t>
            </w:r>
          </w:p>
        </w:tc>
        <w:tc>
          <w:tcPr>
            <w:tcW w:w="3427"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合理设置直饮水系统，且直饮水水质应满足国家现行有关标准的要求（设计分值为3分）。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60"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7.2.3</w:t>
            </w:r>
          </w:p>
        </w:tc>
        <w:tc>
          <w:tcPr>
            <w:tcW w:w="342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热水用水量较小且用水点分散时，宜采用局部热水供应系统；热水用水量较大、用水点比较集中时，宜采用集中热水供应系统。设有集中生活热水系统的建筑，宜采用余热、废热或可再生能源作为热源，并合理配置辅助热源（设计分值为1分）。</w:t>
            </w:r>
          </w:p>
        </w:tc>
        <w:tc>
          <w:tcPr>
            <w:tcW w:w="4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8"/>
        <w:gridCol w:w="445"/>
        <w:gridCol w:w="445"/>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23"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7.2.4</w:t>
            </w:r>
          </w:p>
        </w:tc>
        <w:tc>
          <w:tcPr>
            <w:tcW w:w="342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热水系统设置应符合下列规定（设计分值为2分）：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应保证供水稳定和冷热水系统的压力平衡，冷、热水系统宜分区一致，当冷、热水系统分区一致有困难时，宜在用水点处设置带调节压差功能的混合器、混合阀等措施，保证系统冷、热水压力的平衡；</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集中热水供应应设置完善的热水循环系统，单体建筑宜按同程布置的方式设置热水回水循环管路，小区集中热水供应系统应设热水回水总干管并设总循环泵，单体建筑连接小区总回水管的回水管处宜设导流三通、限流调节阀、温控阀或分循环泵保证循环效果，保证居住建筑用水点出水温度达到46℃的放水时间不应大于15s，医院、旅馆等公共建筑用水点出水温度达到46℃的放水时间不应大于10s；</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热水管道及管道附件均应采取完善的保温技术措施。</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94"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7.2.5</w:t>
            </w:r>
          </w:p>
        </w:tc>
        <w:tc>
          <w:tcPr>
            <w:tcW w:w="342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空调冷却循环水和游泳池、水上娱乐池（儿童池除外）等应采用循环给水系统，并设置水质处理设施，减少水量的排放。空调冷却水和游泳池、水上娱乐池等水循环的排水在有条件时宜重复利用（设计分值为2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96" w:hRule="atLeast"/>
          <w:jc w:val="center"/>
        </w:trPr>
        <w:tc>
          <w:tcPr>
            <w:tcW w:w="50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7.2.6</w:t>
            </w:r>
          </w:p>
        </w:tc>
        <w:tc>
          <w:tcPr>
            <w:tcW w:w="342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宜设置用水量远传计量系统，并符合下列要求（设计分值为6分）：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能分类、分级记录、统计分析各种用水情况（2分）；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应根据水平衡测试的要求安装分级计量水表，下级水表的设置应覆盖上一级水表的所有出流量，不得出现无计量支路。且应设置具有根据计量数据进行管网漏损自动检测、分析</w:t>
            </w:r>
            <w:r>
              <w:rPr>
                <w:rFonts w:hint="eastAsia" w:cs="Times New Roman"/>
                <w:i w:val="0"/>
                <w:iCs w:val="0"/>
                <w:color w:val="000000"/>
                <w:kern w:val="0"/>
                <w:sz w:val="16"/>
                <w:szCs w:val="16"/>
                <w:u w:val="none"/>
                <w:lang w:val="en-US" w:eastAsia="zh-CN" w:bidi="ar"/>
              </w:rPr>
              <w:t>的</w:t>
            </w:r>
            <w:r>
              <w:rPr>
                <w:rFonts w:hint="default" w:ascii="Times New Roman" w:hAnsi="Times New Roman" w:eastAsia="宋体" w:cs="Times New Roman"/>
                <w:i w:val="0"/>
                <w:iCs w:val="0"/>
                <w:color w:val="000000"/>
                <w:kern w:val="0"/>
                <w:sz w:val="16"/>
                <w:szCs w:val="16"/>
                <w:u w:val="none"/>
                <w:lang w:val="en-US" w:eastAsia="zh-CN" w:bidi="ar"/>
              </w:rPr>
              <w:t>系统（2分）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设置水质在线监测系统，具备监测生活饮用水、管道直饮水、游泳池水、非传统水源、空调冷却水的水质指标</w:t>
            </w:r>
            <w:r>
              <w:rPr>
                <w:rFonts w:hint="eastAsia" w:cs="Times New Roman"/>
                <w:i w:val="0"/>
                <w:iCs w:val="0"/>
                <w:color w:val="000000"/>
                <w:kern w:val="0"/>
                <w:sz w:val="16"/>
                <w:szCs w:val="16"/>
                <w:u w:val="none"/>
                <w:lang w:val="en-US" w:eastAsia="zh-CN" w:bidi="ar"/>
              </w:rPr>
              <w:t>，并记录和保存</w:t>
            </w:r>
            <w:r>
              <w:rPr>
                <w:rFonts w:hint="default" w:ascii="Times New Roman" w:hAnsi="Times New Roman" w:eastAsia="宋体" w:cs="Times New Roman"/>
                <w:i w:val="0"/>
                <w:iCs w:val="0"/>
                <w:color w:val="000000"/>
                <w:kern w:val="0"/>
                <w:sz w:val="16"/>
                <w:szCs w:val="16"/>
                <w:u w:val="none"/>
                <w:lang w:val="en-US" w:eastAsia="zh-CN" w:bidi="ar"/>
              </w:rPr>
              <w:t>数据</w:t>
            </w:r>
            <w:r>
              <w:rPr>
                <w:rFonts w:hint="eastAsia" w:cs="Times New Roman"/>
                <w:i w:val="0"/>
                <w:iCs w:val="0"/>
                <w:color w:val="000000"/>
                <w:kern w:val="0"/>
                <w:sz w:val="16"/>
                <w:szCs w:val="16"/>
                <w:u w:val="none"/>
                <w:lang w:val="en-US" w:eastAsia="zh-CN" w:bidi="ar"/>
              </w:rPr>
              <w:t>的</w:t>
            </w:r>
            <w:r>
              <w:rPr>
                <w:rFonts w:hint="default" w:ascii="Times New Roman" w:hAnsi="Times New Roman" w:eastAsia="宋体" w:cs="Times New Roman"/>
                <w:i w:val="0"/>
                <w:iCs w:val="0"/>
                <w:color w:val="000000"/>
                <w:kern w:val="0"/>
                <w:sz w:val="16"/>
                <w:szCs w:val="16"/>
                <w:u w:val="none"/>
                <w:lang w:val="en-US" w:eastAsia="zh-CN" w:bidi="ar"/>
              </w:rPr>
              <w:t>功能（2分）。</w:t>
            </w:r>
          </w:p>
        </w:tc>
        <w:tc>
          <w:tcPr>
            <w:tcW w:w="44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8"/>
        <w:gridCol w:w="445"/>
        <w:gridCol w:w="445"/>
        <w:gridCol w:w="12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168"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7.2.7</w:t>
            </w:r>
          </w:p>
        </w:tc>
        <w:tc>
          <w:tcPr>
            <w:tcW w:w="342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采取提升建筑部品部件耐久性的措施，并应符合下列规定（设计分值为8分）：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应选用耐腐蚀、耐久性能、密闭性能好的管材、管件，并连接可靠</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室外埋地管道应选择适宜的管道敷设及基础处理方式，控制管道埋深，有效避免管网漏损（5分）；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活动配件选用长寿命产品，并考虑部品组合的同寿命性；不同使用寿命的部品组合时，采用便于分别拆换、更新和升级的构造（3分）。</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05"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7.2.8</w:t>
            </w:r>
          </w:p>
        </w:tc>
        <w:tc>
          <w:tcPr>
            <w:tcW w:w="342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所有给水排水管道、设备、设施应设置明确、清晰的永久性标识（设计分值为6分）。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93"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7.2.9</w:t>
            </w:r>
          </w:p>
        </w:tc>
        <w:tc>
          <w:tcPr>
            <w:tcW w:w="342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除洗衣机、淋浴等常排水部位的地漏外，应选用具有防干涸功能的地漏（设计分值为3分）。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40"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7.2.10</w:t>
            </w:r>
          </w:p>
        </w:tc>
        <w:tc>
          <w:tcPr>
            <w:tcW w:w="342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给排水设备及管线宜与建筑结构分离，便于更新维修（设计分值为2分）。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58"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7.2.11</w:t>
            </w:r>
          </w:p>
        </w:tc>
        <w:tc>
          <w:tcPr>
            <w:tcW w:w="342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居住建筑、旅馆建筑卫生间排水宜采用同层排水或其他降低排水噪声的有效措施，使用率不宜小于50%（设计分值为2分）。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06"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7.2.12</w:t>
            </w:r>
          </w:p>
        </w:tc>
        <w:tc>
          <w:tcPr>
            <w:tcW w:w="342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地下建筑或设施出入口应有防止雨水倒灌的技术措施，露天的地下坡道等场所雨水提升设备应按照雨水重现期不小于地下建筑的设计使用年限确定（设计分值为2分）。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28"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7.2.13</w:t>
            </w:r>
          </w:p>
        </w:tc>
        <w:tc>
          <w:tcPr>
            <w:tcW w:w="342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生活给水加压泵、生活热水加压泵、空调冷却循环水泵等增压设施应采用高效节能产品，且水泵应在高效段内运行。水泵的选用应满足现行国家标准《清水离心泵能效限定值及节能评价值》GB 19762的能效限定值和节能评价值要求（设计分值为3分）。</w:t>
            </w:r>
          </w:p>
        </w:tc>
        <w:tc>
          <w:tcPr>
            <w:tcW w:w="4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9"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7"/>
        <w:gridCol w:w="445"/>
        <w:gridCol w:w="445"/>
        <w:gridCol w:w="12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56"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7.2.14</w:t>
            </w:r>
          </w:p>
        </w:tc>
        <w:tc>
          <w:tcPr>
            <w:tcW w:w="3427"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水加热设备应选用容积利用率高、换热效率高、被加热水侧阻力损失小的节能产品（设计分值为1分）。</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47"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7.2.15</w:t>
            </w:r>
          </w:p>
        </w:tc>
        <w:tc>
          <w:tcPr>
            <w:tcW w:w="342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公共浴室的淋浴器及配水管道应符合下列要求（设计分值为2分）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公共浴室淋浴热水系统应采用混合淋浴器或混合水箱供水，冷热水混合淋浴器宜采用即时启闭的脚踏、手动控制或感应式自动控制方式（1分）；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多于3个淋浴器的配水管道，宜布置成环形（1分）。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34"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7.2.16</w:t>
            </w:r>
          </w:p>
        </w:tc>
        <w:tc>
          <w:tcPr>
            <w:tcW w:w="342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学校、医院等建筑的浴室宜设置刷卡用水等用者付费的设施（设计分值为2分）。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877"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7.2.17</w:t>
            </w:r>
          </w:p>
        </w:tc>
        <w:tc>
          <w:tcPr>
            <w:tcW w:w="3427"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使用较高水效等级的卫生节水器具，并按下列规则评分（设计分值为12分）：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全部卫生器具应选用水效等级达到二级的产品（6分）；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50%以上卫生器具应选用水效等级达到一级的产品，且其余达到二级（8分）；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全部卫生器具应选用水效等级达到一级的产品（12分）。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color w:val="auto"/>
                <w:kern w:val="0"/>
                <w:sz w:val="16"/>
                <w:szCs w:val="16"/>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12"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7.2.18</w:t>
            </w:r>
          </w:p>
        </w:tc>
        <w:tc>
          <w:tcPr>
            <w:tcW w:w="342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公共区域水嘴应采用自动感应、脚踏式或其他自闭式的控制方式（设计分值</w:t>
            </w:r>
            <w:r>
              <w:rPr>
                <w:rFonts w:hint="eastAsia" w:cs="Times New Roman"/>
                <w:i w:val="0"/>
                <w:iCs w:val="0"/>
                <w:color w:val="000000"/>
                <w:kern w:val="0"/>
                <w:sz w:val="16"/>
                <w:szCs w:val="16"/>
                <w:u w:val="none"/>
                <w:lang w:val="en-US" w:eastAsia="zh-CN" w:bidi="ar"/>
              </w:rPr>
              <w:t>为</w:t>
            </w:r>
            <w:r>
              <w:rPr>
                <w:rFonts w:hint="default" w:ascii="Times New Roman" w:hAnsi="Times New Roman" w:eastAsia="宋体" w:cs="Times New Roman"/>
                <w:i w:val="0"/>
                <w:iCs w:val="0"/>
                <w:color w:val="000000"/>
                <w:kern w:val="0"/>
                <w:sz w:val="16"/>
                <w:szCs w:val="16"/>
                <w:u w:val="none"/>
                <w:lang w:val="en-US" w:eastAsia="zh-CN" w:bidi="ar"/>
              </w:rPr>
              <w:t>1分）。</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25"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7.2.19</w:t>
            </w:r>
          </w:p>
        </w:tc>
        <w:tc>
          <w:tcPr>
            <w:tcW w:w="342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绿化灌溉应采用喷灌、微灌、低压管灌等高效节水技术，并应符合下列要求（设计分值为6分）：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使用高效节水灌溉技术的绿化面积比例不小于90%（4分）；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对节水灌溉系统采用无线自动控制、有线自动控制、计算机控制等方式，设置土壤湿度感应器、根据气候变化的调节控制器、雨天关闭装置等节水自动化控制措施（2分）。</w:t>
            </w:r>
          </w:p>
        </w:tc>
        <w:tc>
          <w:tcPr>
            <w:tcW w:w="4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8"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8"/>
        <w:gridCol w:w="445"/>
        <w:gridCol w:w="445"/>
        <w:gridCol w:w="121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89"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7.2.20</w:t>
            </w:r>
          </w:p>
        </w:tc>
        <w:tc>
          <w:tcPr>
            <w:tcW w:w="342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住宅和酒店类建筑中不少于50%的浴室采用淋浴替代浴缸（设计分值为1分）。</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620"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7.2.21</w:t>
            </w:r>
          </w:p>
        </w:tc>
        <w:tc>
          <w:tcPr>
            <w:tcW w:w="342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循环冷却水系统设计采用节水设备和技术，并符合下列要求（设计分值为6分）：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成品冷却塔应选用冷效高、飘水少、噪声低的产品，并采取加大集水盘、设置平衡管或平衡水箱的方式，避免冷却水泵停泵时冷却水溢出（2分）；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循环冷却水系统应根据原水水质情况设置水质稳定措施，宜采用投加环保性缓蚀阻垢药剂、电子水处理仪、机械过滤器等措施，减少排污损失水量（1分）；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空调系统宜采用无蒸发耗水量的冷却技术（6分）。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jc w:val="both"/>
              <w:rPr>
                <w:rFonts w:hint="default"/>
                <w:color w:val="auto"/>
                <w:kern w:val="0"/>
                <w:sz w:val="16"/>
                <w:szCs w:val="16"/>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w:t>
            </w:r>
            <w:r>
              <w:rPr>
                <w:rFonts w:hint="eastAsia"/>
                <w:color w:val="auto"/>
                <w:kern w:val="0"/>
                <w:sz w:val="16"/>
                <w:szCs w:val="16"/>
                <w:lang w:eastAsia="zh-CN"/>
              </w:rPr>
              <w:t>暖通</w:t>
            </w:r>
            <w:r>
              <w:rPr>
                <w:rFonts w:hint="eastAsia"/>
                <w:color w:val="auto"/>
                <w:kern w:val="0"/>
                <w:sz w:val="16"/>
                <w:szCs w:val="16"/>
              </w:rPr>
              <w:t>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85"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7.2.22</w:t>
            </w:r>
          </w:p>
        </w:tc>
        <w:tc>
          <w:tcPr>
            <w:tcW w:w="342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50%及以上的厨房和卫生间采用整体工业化部品（设计分值为2分）。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817"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7.2.23</w:t>
            </w:r>
          </w:p>
        </w:tc>
        <w:tc>
          <w:tcPr>
            <w:tcW w:w="342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非亲水性的室外景观水体的设计应结合当地气候和非传统水源利用情况，合理控制水体规模，非亲水性的室外景观水体补水的雨水量应大于水体蒸发量的60%，并满足以下规定，福建省</w:t>
            </w:r>
            <w:r>
              <w:rPr>
                <w:rFonts w:hint="eastAsia" w:cs="Times New Roman"/>
                <w:i w:val="0"/>
                <w:iCs w:val="0"/>
                <w:color w:val="000000"/>
                <w:kern w:val="0"/>
                <w:sz w:val="16"/>
                <w:szCs w:val="16"/>
                <w:u w:val="none"/>
                <w:lang w:val="en-US" w:eastAsia="zh-CN" w:bidi="ar"/>
              </w:rPr>
              <w:t>各</w:t>
            </w:r>
            <w:r>
              <w:rPr>
                <w:rFonts w:hint="default" w:ascii="Times New Roman" w:hAnsi="Times New Roman" w:eastAsia="宋体" w:cs="Times New Roman"/>
                <w:i w:val="0"/>
                <w:iCs w:val="0"/>
                <w:color w:val="000000"/>
                <w:kern w:val="0"/>
                <w:sz w:val="16"/>
                <w:szCs w:val="16"/>
                <w:u w:val="none"/>
                <w:lang w:val="en-US" w:eastAsia="zh-CN" w:bidi="ar"/>
              </w:rPr>
              <w:t>地市</w:t>
            </w:r>
            <w:r>
              <w:rPr>
                <w:rFonts w:hint="eastAsia" w:cs="Times New Roman"/>
                <w:i w:val="0"/>
                <w:iCs w:val="0"/>
                <w:color w:val="000000"/>
                <w:kern w:val="0"/>
                <w:sz w:val="16"/>
                <w:szCs w:val="16"/>
                <w:u w:val="none"/>
                <w:lang w:val="en-US" w:eastAsia="zh-CN" w:bidi="ar"/>
              </w:rPr>
              <w:t>多年</w:t>
            </w:r>
            <w:r>
              <w:rPr>
                <w:rFonts w:hint="default" w:ascii="Times New Roman" w:hAnsi="Times New Roman" w:eastAsia="宋体" w:cs="Times New Roman"/>
                <w:i w:val="0"/>
                <w:iCs w:val="0"/>
                <w:color w:val="000000"/>
                <w:kern w:val="0"/>
                <w:sz w:val="16"/>
                <w:szCs w:val="16"/>
                <w:u w:val="none"/>
                <w:lang w:val="en-US" w:eastAsia="zh-CN" w:bidi="ar"/>
              </w:rPr>
              <w:t>平均</w:t>
            </w:r>
            <w:r>
              <w:rPr>
                <w:rFonts w:hint="eastAsia" w:cs="Times New Roman"/>
                <w:i w:val="0"/>
                <w:iCs w:val="0"/>
                <w:color w:val="000000"/>
                <w:kern w:val="0"/>
                <w:sz w:val="16"/>
                <w:szCs w:val="16"/>
                <w:u w:val="none"/>
                <w:lang w:val="en-US" w:eastAsia="zh-CN" w:bidi="ar"/>
              </w:rPr>
              <w:t>逐月</w:t>
            </w:r>
            <w:r>
              <w:rPr>
                <w:rFonts w:hint="default" w:ascii="Times New Roman" w:hAnsi="Times New Roman" w:eastAsia="宋体" w:cs="Times New Roman"/>
                <w:i w:val="0"/>
                <w:iCs w:val="0"/>
                <w:color w:val="000000"/>
                <w:kern w:val="0"/>
                <w:sz w:val="16"/>
                <w:szCs w:val="16"/>
                <w:u w:val="none"/>
                <w:lang w:val="en-US" w:eastAsia="zh-CN" w:bidi="ar"/>
              </w:rPr>
              <w:t>降水</w:t>
            </w:r>
            <w:r>
              <w:rPr>
                <w:rFonts w:hint="eastAsia" w:cs="Times New Roman"/>
                <w:i w:val="0"/>
                <w:iCs w:val="0"/>
                <w:color w:val="000000"/>
                <w:kern w:val="0"/>
                <w:sz w:val="16"/>
                <w:szCs w:val="16"/>
                <w:u w:val="none"/>
                <w:lang w:val="en-US" w:eastAsia="zh-CN" w:bidi="ar"/>
              </w:rPr>
              <w:t>和蒸发</w:t>
            </w:r>
            <w:r>
              <w:rPr>
                <w:rFonts w:hint="default" w:ascii="Times New Roman" w:hAnsi="Times New Roman" w:eastAsia="宋体" w:cs="Times New Roman"/>
                <w:i w:val="0"/>
                <w:iCs w:val="0"/>
                <w:color w:val="000000"/>
                <w:kern w:val="0"/>
                <w:sz w:val="16"/>
                <w:szCs w:val="16"/>
                <w:u w:val="none"/>
                <w:lang w:val="en-US" w:eastAsia="zh-CN" w:bidi="ar"/>
              </w:rPr>
              <w:t>量数据可按照本标准附录L执行（设计分值为8分）：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在非传统水源不能保证非亲水性室外景观水体全年补充水量要求的前提下，应设计水体的旱季观赏功能</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对进入非亲水性室外景观水体的雨水应采取控制面源污染的措施，并宜结合水景设计机械设施等水质安全保障措施（4分）；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采用水体生物等生物措施，消除富营养化及水体腐败的潜在因素，达到相关水质标准要求（4分）；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不设置景观水体（8分）。</w:t>
            </w:r>
          </w:p>
        </w:tc>
        <w:tc>
          <w:tcPr>
            <w:tcW w:w="4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12"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8"/>
        <w:gridCol w:w="445"/>
        <w:gridCol w:w="445"/>
        <w:gridCol w:w="123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136" w:hRule="atLeast"/>
          <w:jc w:val="center"/>
        </w:trPr>
        <w:tc>
          <w:tcPr>
            <w:tcW w:w="502" w:type="dxa"/>
            <w:tcBorders>
              <w:top w:val="single" w:color="auto" w:sz="12" w:space="0"/>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7.2.24</w:t>
            </w:r>
          </w:p>
        </w:tc>
        <w:tc>
          <w:tcPr>
            <w:tcW w:w="3428"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雨水控制利用专项规划设计或雨水综合利用方案应符合城市或区域雨水规划和地方政府要求，建设用地面积20000m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及以上的新建民用建筑，应同步设计雨水利用系统，采用雨水入渗、调蓄、回用的技术措施，并应符合下列规定，不同下垫面的径流系数可按照本标准附录M执行（设计分值为10分）：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合理规划地表与屋面雨水径流途径，场地年径流总量控制率达到55%，未达到70%（8分）；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场地年径流总量控制率达到70%，未达到75%（9分）；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  场地年径流总量控制率达到75%（10分）。</w:t>
            </w:r>
          </w:p>
        </w:tc>
        <w:tc>
          <w:tcPr>
            <w:tcW w:w="445"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5" w:type="dxa"/>
            <w:tcBorders>
              <w:top w:val="single" w:color="auto" w:sz="12" w:space="0"/>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□详海绵城市施工图：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10"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7.2.25</w:t>
            </w:r>
          </w:p>
        </w:tc>
        <w:tc>
          <w:tcPr>
            <w:tcW w:w="3428"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应结合本地降雨特性、下垫面情况和总图景观设计，充分利用场地空间合理设置绿色雨水基础设施，加强雨水调蓄和入渗，并应符合下列要求（设计分值为12分）：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宜采用下凹式绿地、雨水花园、树池、干塘、湿地等有调蓄雨水功能的设施，调蓄雨水功能的绿地和水体的面积之和占绿地面积的比例达到15%（2分），达到30%（3分），达到40%（4分），达到60%（5分）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衔接和引导不少于80%的屋面雨水进入地面生态设施（3分）；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衔接和引导不少于80%的道路雨水进入地面生态设施（4分）。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u w:val="none"/>
                <w:lang w:val="en-US" w:eastAsia="zh-CN"/>
              </w:rPr>
              <w:t>□详海绵城市施工图：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458"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7.2.26</w:t>
            </w:r>
          </w:p>
        </w:tc>
        <w:tc>
          <w:tcPr>
            <w:tcW w:w="3428"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设计中应合理使用非传统水源，且非传统水源使用量应符合下列要求（设计分值为15分）：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绿化灌溉、车库及道路冲洗、洗车用水采用非传统水源的用水量占其总用水量的比例不低于40%（</w:t>
            </w:r>
            <w:r>
              <w:rPr>
                <w:rFonts w:hint="eastAsia" w:cs="Times New Roman"/>
                <w:i w:val="0"/>
                <w:iCs w:val="0"/>
                <w:color w:val="000000"/>
                <w:kern w:val="0"/>
                <w:sz w:val="16"/>
                <w:szCs w:val="16"/>
                <w:u w:val="none"/>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分）；不低于60%（5分）；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冲厕采用非传统水源的用水量占其总用水量的比例不低于30%（3分）；不低于50%（5分）；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冷却水补水采用非传统水源的用水量占其总用水量的比例不低于20%（3分）；不低于40%（5分）。</w:t>
            </w:r>
          </w:p>
        </w:tc>
        <w:tc>
          <w:tcPr>
            <w:tcW w:w="44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3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none"/>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highlight w:val="none"/>
              </w:rPr>
              <w:t>非传统水源利用计算</w:t>
            </w:r>
            <w:r>
              <w:rPr>
                <w:rFonts w:hint="eastAsia"/>
                <w:color w:val="auto"/>
                <w:kern w:val="0"/>
                <w:sz w:val="16"/>
                <w:szCs w:val="16"/>
                <w:highlight w:val="none"/>
                <w:lang w:val="en-US" w:eastAsia="zh-CN"/>
              </w:rPr>
              <w:t>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4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7"/>
        <w:gridCol w:w="445"/>
        <w:gridCol w:w="445"/>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7.2.27</w:t>
            </w:r>
          </w:p>
        </w:tc>
        <w:tc>
          <w:tcPr>
            <w:tcW w:w="3427"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雨水回用方式、规模应通过水量平衡计算和技术经济分析合理确定。雨水收集利用系统应符合下列要求（设计分值为2分）：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应设置雨水初期弃流装置和雨水调节池，处理后的雨水宜用于景观、绿化、道路浇洒、车辆冲洗、空调冷却水补水等用水，水质应达到相应用途的水质标准；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雨水收集、处理及回用系统宜与景观水体设计相结合。</w:t>
            </w:r>
          </w:p>
        </w:tc>
        <w:tc>
          <w:tcPr>
            <w:tcW w:w="44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22"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center"/>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r>
              <w:rPr>
                <w:rFonts w:hint="eastAsia" w:ascii="Times New Roman" w:hAnsi="Times New Roman" w:eastAsia="宋体" w:cs="Times New Roman"/>
                <w:i w:val="0"/>
                <w:iCs w:val="0"/>
                <w:color w:val="000000"/>
                <w:sz w:val="16"/>
                <w:szCs w:val="16"/>
                <w:u w:val="none"/>
                <w:lang w:val="en-US" w:eastAsia="zh-CN"/>
              </w:rPr>
              <w:t>：</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□详景观施工图：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highlight w:val="yellow"/>
                <w:u w:val="none"/>
                <w:lang w:val="en-US" w:eastAsia="zh-CN"/>
              </w:rPr>
            </w:pPr>
            <w:r>
              <w:rPr>
                <w:rFonts w:hint="eastAsia" w:ascii="Times New Roman" w:hAnsi="Times New Roman" w:eastAsia="宋体" w:cs="Times New Roman"/>
                <w:i w:val="0"/>
                <w:iCs w:val="0"/>
                <w:color w:val="000000"/>
                <w:sz w:val="16"/>
                <w:szCs w:val="16"/>
                <w:u w:val="none"/>
                <w:lang w:val="en-US" w:eastAsia="zh-CN"/>
              </w:rPr>
              <w:t>□详雨水</w:t>
            </w:r>
            <w:r>
              <w:rPr>
                <w:rFonts w:hint="eastAsia"/>
                <w:color w:val="auto"/>
                <w:kern w:val="0"/>
                <w:sz w:val="16"/>
                <w:szCs w:val="16"/>
              </w:rPr>
              <w:t>回用系统施工图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60"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7.2.28</w:t>
            </w:r>
          </w:p>
        </w:tc>
        <w:tc>
          <w:tcPr>
            <w:tcW w:w="342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居住建筑宜利用房间空调器排水管收集凝结水进入雨水收集回用系统；公共建筑可根据空调系统的类型收集凝结水进入雨水收集回用系统（设计分值为1分）。</w:t>
            </w:r>
          </w:p>
        </w:tc>
        <w:tc>
          <w:tcPr>
            <w:tcW w:w="44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22"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93"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7.2.29</w:t>
            </w:r>
          </w:p>
        </w:tc>
        <w:tc>
          <w:tcPr>
            <w:tcW w:w="3427"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宜根据当地气候和自然资源条件，对可再生能源利用系统进行合理设计，可再生能源提供的生活用热水比例应符合表7.2.29的要求（设计分值为10分）。</w:t>
            </w:r>
          </w:p>
        </w:tc>
        <w:tc>
          <w:tcPr>
            <w:tcW w:w="44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222"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keepNext w:val="0"/>
              <w:keepLines w:val="0"/>
              <w:pageBreakBefore w:val="0"/>
              <w:kinsoku/>
              <w:wordWrap/>
              <w:overflowPunct/>
              <w:topLinePunct w:val="0"/>
              <w:bidi w:val="0"/>
              <w:spacing w:line="200" w:lineRule="exact"/>
              <w:rPr>
                <w:rFonts w:hint="eastAsia"/>
                <w:color w:val="auto"/>
                <w:kern w:val="0"/>
                <w:sz w:val="16"/>
                <w:szCs w:val="16"/>
              </w:rPr>
            </w:pPr>
            <w:r>
              <w:rPr>
                <w:rFonts w:hint="eastAsia"/>
                <w:color w:val="auto"/>
                <w:kern w:val="0"/>
                <w:sz w:val="16"/>
                <w:szCs w:val="16"/>
              </w:rPr>
              <w:t>□详太阳能/空气源热泵热水系统施工图</w:t>
            </w:r>
          </w:p>
          <w:p>
            <w:pPr>
              <w:pStyle w:val="41"/>
              <w:keepNext w:val="0"/>
              <w:keepLines w:val="0"/>
              <w:pageBreakBefore w:val="0"/>
              <w:kinsoku/>
              <w:wordWrap/>
              <w:overflowPunct/>
              <w:topLinePunct w:val="0"/>
              <w:bidi w:val="0"/>
              <w:snapToGrid/>
              <w:spacing w:line="200" w:lineRule="exact"/>
              <w:jc w:val="both"/>
              <w:rPr>
                <w:rFonts w:hint="default"/>
                <w:color w:val="auto"/>
                <w:kern w:val="0"/>
                <w:sz w:val="16"/>
                <w:szCs w:val="16"/>
                <w:lang w:val="en-US" w:eastAsia="zh-CN"/>
              </w:rPr>
            </w:pPr>
            <w:r>
              <w:rPr>
                <w:rFonts w:hint="eastAsia"/>
                <w:color w:val="auto"/>
                <w:kern w:val="0"/>
                <w:sz w:val="16"/>
                <w:szCs w:val="16"/>
              </w:rPr>
              <w:t>□可再生能源利用率分析报告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4" w:hRule="atLeast"/>
          <w:jc w:val="center"/>
        </w:trPr>
        <w:tc>
          <w:tcPr>
            <w:tcW w:w="3929"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46" o:spt="75" type="#_x0000_t75" style="height:15.6pt;width:13pt;" o:ole="t" filled="f" o:preferrelative="t" stroked="f" coordsize="21600,21600">
                  <v:path/>
                  <v:fill on="f" focussize="0,0"/>
                  <v:stroke on="f"/>
                  <v:imagedata r:id="rId12" o:title=""/>
                  <o:lock v:ext="edit" aspectratio="t"/>
                  <w10:wrap type="none"/>
                  <w10:anchorlock/>
                </v:shape>
                <o:OLEObject Type="Embed" ProgID="Equation.KSEE3" ShapeID="_x0000_i1046" DrawAspect="Content" ObjectID="_1468075746" r:id="rId40">
                  <o:LockedField>false</o:LockedField>
                </o:OLEObject>
              </w:objec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222"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33" w:hRule="atLeast"/>
          <w:jc w:val="center"/>
        </w:trPr>
        <w:tc>
          <w:tcPr>
            <w:tcW w:w="3929"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47"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47" DrawAspect="Content" ObjectID="_1468075747" r:id="rId41">
                  <o:LockedField>false</o:LockedField>
                </o:OLEObject>
              </w:objec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4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222"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3929"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48"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48" DrawAspect="Content" ObjectID="_1468075748" r:id="rId42">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49" o:spt="75" type="#_x0000_t75" style="height:15.9pt;width:17.9pt;" o:ole="t" filled="f" o:preferrelative="t" stroked="f" coordsize="21600,21600">
                  <v:path/>
                  <v:fill on="f" focussize="0,0"/>
                  <v:stroke on="f"/>
                  <v:imagedata r:id="rId18" o:title=""/>
                  <o:lock v:ext="edit" aspectratio="t"/>
                  <w10:wrap type="none"/>
                  <w10:anchorlock/>
                </v:shape>
                <o:OLEObject Type="Embed" ProgID="Equation.KSEE3" ShapeID="_x0000_i1049" DrawAspect="Content" ObjectID="_1468075749" r:id="rId43">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w:t>
            </w:r>
            <w:r>
              <w:rPr>
                <w:rFonts w:hint="eastAsia" w:ascii="Times New Roman" w:hAnsi="Times New Roman" w:eastAsia="宋体" w:cs="Times New Roman"/>
                <w:i w:val="0"/>
                <w:iCs w:val="0"/>
                <w:color w:val="000000"/>
                <w:kern w:val="0"/>
                <w:sz w:val="16"/>
                <w:szCs w:val="16"/>
                <w:u w:val="none"/>
                <w:lang w:val="en-US" w:eastAsia="zh-CN" w:bidi="ar"/>
              </w:rPr>
              <w:t>139</w:t>
            </w:r>
            <w:r>
              <w:rPr>
                <w:rFonts w:hint="default" w:ascii="Times New Roman" w:hAnsi="Times New Roman" w:cs="Times New Roman"/>
                <w:i w:val="0"/>
                <w:lang w:val="en-US" w:eastAsia="zh-CN"/>
              </w:rPr>
              <w:t>）</w:t>
            </w:r>
          </w:p>
        </w:tc>
        <w:tc>
          <w:tcPr>
            <w:tcW w:w="44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222"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6041"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00"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2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1667"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8"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7.3.1</w:t>
            </w:r>
          </w:p>
        </w:tc>
        <w:tc>
          <w:tcPr>
            <w:tcW w:w="342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sz w:val="16"/>
                <w:szCs w:val="16"/>
                <w:u w:val="none"/>
              </w:rPr>
              <w:t>住宅建筑90%以上厨房宜采用家庭厨余垃圾处理设备；公共建筑宜分设干、湿垃圾间，实现厨余垃圾的集中收集及转运（设计分值为1分）。</w:t>
            </w:r>
          </w:p>
        </w:tc>
        <w:tc>
          <w:tcPr>
            <w:tcW w:w="445"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67" w:type="dxa"/>
            <w:gridSpan w:val="2"/>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□详装修施工图：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5" w:hRule="atLeast"/>
          <w:jc w:val="center"/>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7.3.2</w:t>
            </w:r>
          </w:p>
        </w:tc>
        <w:tc>
          <w:tcPr>
            <w:tcW w:w="342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给排水设计宜采用建筑信息模型（BIM）技术（设计分值为1分）。</w:t>
            </w:r>
          </w:p>
        </w:tc>
        <w:tc>
          <w:tcPr>
            <w:tcW w:w="445"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67" w:type="dxa"/>
            <w:gridSpan w:val="2"/>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cs="Times New Roman"/>
                <w:color w:val="auto"/>
                <w:kern w:val="0"/>
                <w:sz w:val="16"/>
                <w:szCs w:val="16"/>
              </w:rPr>
              <w:t>BIM</w:t>
            </w:r>
            <w:r>
              <w:rPr>
                <w:rFonts w:hint="eastAsia"/>
                <w:color w:val="auto"/>
                <w:kern w:val="0"/>
                <w:sz w:val="16"/>
                <w:szCs w:val="16"/>
              </w:rPr>
              <w:t>技术应用报告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5</w:t>
      </w:r>
    </w:p>
    <w:tbl>
      <w:tblPr>
        <w:tblStyle w:val="34"/>
        <w:tblW w:w="6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6"/>
        <w:gridCol w:w="445"/>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8" w:hRule="atLeast"/>
          <w:jc w:val="center"/>
        </w:trPr>
        <w:tc>
          <w:tcPr>
            <w:tcW w:w="502" w:type="dxa"/>
            <w:tcBorders>
              <w:top w:val="single" w:color="auto" w:sz="12" w:space="0"/>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7.3.3</w:t>
            </w:r>
          </w:p>
        </w:tc>
        <w:tc>
          <w:tcPr>
            <w:tcW w:w="3426" w:type="dxa"/>
            <w:tcBorders>
              <w:top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除洗衣机、淋浴等常排水部位的地漏外，地漏水封宜设有补水措施（设计分值为1分）。</w:t>
            </w:r>
          </w:p>
        </w:tc>
        <w:tc>
          <w:tcPr>
            <w:tcW w:w="445" w:type="dxa"/>
            <w:tcBorders>
              <w:top w:val="single" w:color="auto" w:sz="12" w:space="0"/>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73" w:type="dxa"/>
            <w:tcBorders>
              <w:top w:val="single" w:color="auto" w:sz="12" w:space="0"/>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2" w:hRule="atLeast"/>
          <w:jc w:val="center"/>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7.3.4</w:t>
            </w:r>
          </w:p>
        </w:tc>
        <w:tc>
          <w:tcPr>
            <w:tcW w:w="3426"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给排水设备宜设置智慧管理系统（设计分值为1分）。</w:t>
            </w:r>
          </w:p>
        </w:tc>
        <w:tc>
          <w:tcPr>
            <w:tcW w:w="445"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673"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color w:val="auto"/>
                <w:kern w:val="0"/>
                <w:sz w:val="16"/>
                <w:szCs w:val="16"/>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rPr>
              <w:t>详给排水施工图：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□详</w:t>
            </w:r>
            <w:r>
              <w:rPr>
                <w:rFonts w:hint="eastAsia"/>
                <w:color w:val="auto"/>
                <w:kern w:val="0"/>
                <w:sz w:val="16"/>
                <w:szCs w:val="16"/>
                <w:lang w:eastAsia="zh-CN"/>
              </w:rPr>
              <w:t>电气</w:t>
            </w:r>
            <w:r>
              <w:rPr>
                <w:rFonts w:hint="eastAsia" w:ascii="Times New Roman" w:hAnsi="Times New Roman" w:eastAsia="宋体" w:cs="Times New Roman"/>
                <w:i w:val="0"/>
                <w:iCs w:val="0"/>
                <w:color w:val="000000"/>
                <w:sz w:val="16"/>
                <w:szCs w:val="16"/>
                <w:u w:val="none"/>
                <w:lang w:val="en-US" w:eastAsia="zh-CN"/>
              </w:rPr>
              <w:t>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65" w:hRule="atLeast"/>
          <w:jc w:val="center"/>
        </w:trPr>
        <w:tc>
          <w:tcPr>
            <w:tcW w:w="392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50" o:spt="75" type="#_x0000_t75" style="height:14.15pt;width:14.2pt;" o:ole="t" filled="f" o:preferrelative="t" stroked="f" coordsize="21600,21600">
                  <v:path/>
                  <v:fill on="f" focussize="0,0"/>
                  <v:stroke on="f"/>
                  <v:imagedata r:id="rId20" o:title=""/>
                  <o:lock v:ext="edit" aspectratio="t"/>
                  <w10:wrap type="none"/>
                  <w10:anchorlock/>
                </v:shape>
                <o:OLEObject Type="Embed" ProgID="Equation.KSEE3" ShapeID="_x0000_i1050" DrawAspect="Content" ObjectID="_1468075750" r:id="rId44">
                  <o:LockedField>false</o:LockedField>
                </o:OLEObject>
              </w:object>
            </w:r>
          </w:p>
        </w:tc>
        <w:tc>
          <w:tcPr>
            <w:tcW w:w="44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67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392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51" o:spt="75" type="#_x0000_t75" style="height:23.75pt;width:79.35pt;" o:ole="t" filled="f" o:preferrelative="t" stroked="f" coordsize="21600,21600">
                  <v:path/>
                  <v:fill on="f" focussize="0,0"/>
                  <v:stroke on="f"/>
                  <v:imagedata r:id="rId22" o:title=""/>
                  <o:lock v:ext="edit" aspectratio="t"/>
                  <w10:wrap type="none"/>
                  <w10:anchorlock/>
                </v:shape>
                <o:OLEObject Type="Embed" ProgID="Equation.KSEE3" ShapeID="_x0000_i1051" DrawAspect="Content" ObjectID="_1468075751" r:id="rId45">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52" o:spt="75" type="#_x0000_t75" style="height:14.15pt;width:11.85pt;" o:ole="t" filled="f" o:preferrelative="t" stroked="f" coordsize="21600,21600">
                  <v:path/>
                  <v:fill on="f" focussize="0,0"/>
                  <v:stroke on="f"/>
                  <v:imagedata r:id="rId24" o:title=""/>
                  <o:lock v:ext="edit" aspectratio="t"/>
                  <w10:wrap type="none"/>
                  <w10:anchorlock/>
                </v:shape>
                <o:OLEObject Type="Embed" ProgID="Equation.KSEE3" ShapeID="_x0000_i1052" DrawAspect="Content" ObjectID="_1468075752" r:id="rId46">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45"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67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45" w:hRule="atLeast"/>
          <w:jc w:val="center"/>
        </w:trPr>
        <w:tc>
          <w:tcPr>
            <w:tcW w:w="3928"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2118" w:type="dxa"/>
            <w:gridSpan w:val="2"/>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本表由给排水专业填写，并</w:t>
      </w:r>
      <w:r>
        <w:rPr>
          <w:rFonts w:hint="eastAsia" w:cs="Times New Roman"/>
          <w:i w:val="0"/>
          <w:iCs w:val="0"/>
          <w:color w:val="000000"/>
          <w:kern w:val="0"/>
          <w:sz w:val="15"/>
          <w:szCs w:val="15"/>
          <w:u w:val="none"/>
          <w:lang w:val="en-US" w:eastAsia="zh-CN" w:bidi="ar"/>
        </w:rPr>
        <w:t>编入</w:t>
      </w:r>
      <w:r>
        <w:rPr>
          <w:rFonts w:hint="default" w:ascii="Times New Roman" w:hAnsi="Times New Roman" w:eastAsia="宋体" w:cs="Times New Roman"/>
          <w:i w:val="0"/>
          <w:iCs w:val="0"/>
          <w:color w:val="000000"/>
          <w:kern w:val="0"/>
          <w:sz w:val="15"/>
          <w:szCs w:val="15"/>
          <w:u w:val="none"/>
          <w:lang w:val="en-US" w:eastAsia="zh-CN" w:bidi="ar"/>
        </w:rPr>
        <w:t>给排水专业绿色建筑专篇，基本级绿色建筑设计可删除星级设计要求和提高与创新的相关内容；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eastAsia" w:ascii="Times New Roman" w:hAnsi="Times New Roman" w:eastAsia="宋体" w:cs="Times New Roman"/>
          <w:i w:val="0"/>
          <w:iCs w:val="0"/>
          <w:color w:val="000000"/>
          <w:kern w:val="0"/>
          <w:sz w:val="15"/>
          <w:szCs w:val="15"/>
          <w:u w:val="none"/>
          <w:lang w:val="en-US" w:eastAsia="zh-CN" w:bidi="ar"/>
        </w:rPr>
        <w:t xml:space="preserve">4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p>
    <w:p>
      <w:pPr>
        <w:pStyle w:val="41"/>
        <w:rPr>
          <w:rFonts w:hint="default" w:ascii="Times New Roman" w:hAnsi="Times New Roman" w:eastAsia="宋体" w:cs="Times New Roman"/>
          <w:i w:val="0"/>
          <w:iCs w:val="0"/>
          <w:color w:val="000000"/>
          <w:kern w:val="0"/>
          <w:sz w:val="16"/>
          <w:szCs w:val="16"/>
          <w:u w:val="none"/>
          <w:lang w:val="en-US" w:eastAsia="zh-CN" w:bidi="ar"/>
        </w:rPr>
      </w:pPr>
    </w:p>
    <w:p>
      <w:pPr>
        <w:pStyle w:val="41"/>
        <w:rPr>
          <w:rFonts w:hint="default" w:ascii="Times New Roman" w:hAnsi="Times New Roman" w:cs="Times New Roman"/>
          <w:color w:val="auto"/>
          <w:sz w:val="18"/>
          <w:szCs w:val="16"/>
        </w:rPr>
        <w:sectPr>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p>
    <w:p>
      <w:pPr>
        <w:spacing w:before="249" w:beforeLines="80" w:after="62" w:afterLines="20" w:line="240" w:lineRule="auto"/>
        <w:jc w:val="center"/>
        <w:outlineLvl w:val="1"/>
        <w:rPr>
          <w:rFonts w:hint="default" w:ascii="Times New Roman" w:hAnsi="Times New Roman" w:eastAsia="黑体" w:cs="Times New Roman"/>
          <w:b w:val="0"/>
          <w:bCs w:val="0"/>
          <w:color w:val="auto"/>
          <w:sz w:val="18"/>
          <w:szCs w:val="18"/>
        </w:rPr>
      </w:pPr>
      <w:bookmarkStart w:id="44" w:name="_Toc18424"/>
      <w:bookmarkStart w:id="45" w:name="_Toc6916"/>
      <w:bookmarkStart w:id="46" w:name="_Toc24697"/>
      <w:bookmarkStart w:id="47" w:name="_Toc10715"/>
      <w:bookmarkStart w:id="48" w:name="_Toc22209"/>
      <w:bookmarkStart w:id="49" w:name="_Toc6125"/>
      <w:bookmarkStart w:id="50" w:name="_Toc9889"/>
      <w:bookmarkStart w:id="51" w:name="_Toc21537"/>
      <w:r>
        <w:rPr>
          <w:rFonts w:hint="default" w:ascii="Times New Roman" w:hAnsi="Times New Roman" w:eastAsia="黑体" w:cs="Times New Roman"/>
          <w:b w:val="0"/>
          <w:bCs w:val="0"/>
          <w:color w:val="auto"/>
          <w:sz w:val="18"/>
          <w:szCs w:val="18"/>
        </w:rPr>
        <w:t>表C-6  暖通</w:t>
      </w:r>
      <w:r>
        <w:rPr>
          <w:rFonts w:hint="default" w:ascii="Times New Roman" w:hAnsi="Times New Roman" w:eastAsia="黑体" w:cs="Times New Roman"/>
          <w:b w:val="0"/>
          <w:bCs w:val="0"/>
          <w:color w:val="auto"/>
          <w:sz w:val="18"/>
          <w:szCs w:val="18"/>
          <w:lang w:eastAsia="zh-CN"/>
        </w:rPr>
        <w:t>设计</w:t>
      </w:r>
      <w:r>
        <w:rPr>
          <w:rFonts w:hint="default" w:ascii="Times New Roman" w:hAnsi="Times New Roman" w:eastAsia="黑体" w:cs="Times New Roman"/>
          <w:b w:val="0"/>
          <w:bCs w:val="0"/>
          <w:color w:val="auto"/>
          <w:sz w:val="18"/>
          <w:szCs w:val="18"/>
        </w:rPr>
        <w:t>绿色建筑技术措施汇总表</w:t>
      </w:r>
      <w:bookmarkEnd w:id="44"/>
      <w:bookmarkEnd w:id="45"/>
      <w:bookmarkEnd w:id="46"/>
      <w:bookmarkEnd w:id="47"/>
      <w:bookmarkEnd w:id="48"/>
      <w:bookmarkEnd w:id="49"/>
      <w:bookmarkEnd w:id="50"/>
      <w:bookmarkEnd w:id="51"/>
    </w:p>
    <w:tbl>
      <w:tblPr>
        <w:tblStyle w:val="34"/>
        <w:tblW w:w="605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47"/>
        <w:gridCol w:w="3850"/>
        <w:gridCol w:w="443"/>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6055"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9"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31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设计措施及送审材料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2"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8.1.1</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采用集中空调供暖系统的建筑，房间内的温度、湿度、新风量等设计参数应符合现行国家标准《民用建筑供暖通风与空气调节设计规范》GB 50736的规定。</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4"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8.1.2</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应根据建筑空间功能设置分区温度，且供冷工况下室内过渡区空间空调室内设计温度应比长期逗留区域提高1℃～2℃，供热工况下应比长期逗留区域降低1℃～2℃。</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79"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8.1.3</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供暖空调冷热源与输配系统的能效应符合现行国家标准《建筑节能与可再生能源利用通用规范》GB 55015、现行地方标准《福建省公共建筑节能设计标准》DBJ 13-305的规定以及现行有关国家标准能效限定值的要求。</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02"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8.1.4</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应采取措施降低部分负荷和部分空间使用下的通风与空调系统能耗，并符合下列规定：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应区分房间的朝向，细分空调区域，对空调系统进行分区控制；</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合理选配空调冷、热源机组台数与容量，制定实施根据负荷变化调节制冷（热）量的控制策略。</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2" w:hRule="atLeast"/>
          <w:jc w:val="center"/>
        </w:trPr>
        <w:tc>
          <w:tcPr>
            <w:tcW w:w="44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8.1.5</w:t>
            </w:r>
          </w:p>
        </w:tc>
        <w:tc>
          <w:tcPr>
            <w:tcW w:w="385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集中空调与供暖系统应设置监测与控制系统，并应符合现行国家标准《公共建筑节能设计标准》GB</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50189和《建筑节能与可再生能源利用通用规范》GB 55015的要求。</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w:t>
            </w:r>
            <w:r>
              <w:rPr>
                <w:rFonts w:hint="eastAsia"/>
                <w:color w:val="auto"/>
                <w:kern w:val="0"/>
                <w:sz w:val="16"/>
                <w:szCs w:val="16"/>
                <w:lang w:eastAsia="zh-CN"/>
              </w:rPr>
              <w:t>电气</w:t>
            </w:r>
            <w:r>
              <w:rPr>
                <w:rFonts w:hint="eastAsia"/>
                <w:color w:val="auto"/>
                <w:kern w:val="0"/>
                <w:sz w:val="16"/>
                <w:szCs w:val="16"/>
              </w:rPr>
              <w:t>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8" w:hRule="atLeast"/>
          <w:jc w:val="center"/>
        </w:trPr>
        <w:tc>
          <w:tcPr>
            <w:tcW w:w="447"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8.1.6</w:t>
            </w:r>
          </w:p>
        </w:tc>
        <w:tc>
          <w:tcPr>
            <w:tcW w:w="385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主要功能房间应设计现场独立控制的热环境调节装置。</w:t>
            </w:r>
          </w:p>
        </w:tc>
        <w:tc>
          <w:tcPr>
            <w:tcW w:w="44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47" w:hRule="atLeast"/>
          <w:jc w:val="center"/>
        </w:trPr>
        <w:tc>
          <w:tcPr>
            <w:tcW w:w="447"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8.1.7</w:t>
            </w:r>
          </w:p>
        </w:tc>
        <w:tc>
          <w:tcPr>
            <w:tcW w:w="3850"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地下车库应设置与排风设备联动的一氧化碳浓度监测装置，并符合下列要求：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排风设备联动的一氧化碳浓度监测装置宜按排烟分区设置，每个防火分区不少于一个；</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一氧化碳浓度监测装置设置的位置宜安装在高于地面1.5m～2.5m的位置。</w:t>
            </w:r>
          </w:p>
        </w:tc>
        <w:tc>
          <w:tcPr>
            <w:tcW w:w="443"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w:t>
            </w:r>
            <w:r>
              <w:rPr>
                <w:rFonts w:hint="eastAsia"/>
                <w:color w:val="auto"/>
                <w:kern w:val="0"/>
                <w:sz w:val="16"/>
                <w:szCs w:val="16"/>
                <w:lang w:eastAsia="zh-CN"/>
              </w:rPr>
              <w:t>电气</w:t>
            </w:r>
            <w:r>
              <w:rPr>
                <w:rFonts w:hint="eastAsia"/>
                <w:color w:val="auto"/>
                <w:kern w:val="0"/>
                <w:sz w:val="16"/>
                <w:szCs w:val="16"/>
              </w:rPr>
              <w:t>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6</w:t>
      </w:r>
    </w:p>
    <w:tbl>
      <w:tblPr>
        <w:tblStyle w:val="34"/>
        <w:tblW w:w="60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28"/>
        <w:gridCol w:w="3407"/>
        <w:gridCol w:w="443"/>
        <w:gridCol w:w="443"/>
        <w:gridCol w:w="13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46" w:hRule="atLeast"/>
          <w:jc w:val="center"/>
        </w:trPr>
        <w:tc>
          <w:tcPr>
            <w:tcW w:w="428"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8.1.8</w:t>
            </w:r>
          </w:p>
        </w:tc>
        <w:tc>
          <w:tcPr>
            <w:tcW w:w="3850"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建筑的卫生间、餐厅、厨房、垃圾间、地下车库等区域的排风设计应合理，并避免其空气和污染物串通到其他空间或室外活动场所。</w:t>
            </w:r>
          </w:p>
        </w:tc>
        <w:tc>
          <w:tcPr>
            <w:tcW w:w="44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15"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widowControl/>
              <w:kinsoku/>
              <w:wordWrap/>
              <w:overflowPunct/>
              <w:topLinePunct w:val="0"/>
              <w:autoSpaceDE/>
              <w:autoSpaceDN/>
              <w:bidi w:val="0"/>
              <w:adjustRightInd/>
              <w:snapToGrid/>
              <w:spacing w:line="200" w:lineRule="exact"/>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9" w:hRule="atLeast"/>
          <w:jc w:val="center"/>
        </w:trPr>
        <w:tc>
          <w:tcPr>
            <w:tcW w:w="6036"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428"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0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不适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用分</w:t>
            </w:r>
          </w:p>
        </w:tc>
        <w:tc>
          <w:tcPr>
            <w:tcW w:w="1315"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73" w:hRule="atLeast"/>
          <w:jc w:val="center"/>
        </w:trPr>
        <w:tc>
          <w:tcPr>
            <w:tcW w:w="428"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w:t>
            </w:r>
          </w:p>
        </w:tc>
        <w:tc>
          <w:tcPr>
            <w:tcW w:w="340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应根据当地气候和自然资源条件，进行技术经济分析，合理利用可再生能源，且可再生能源提供的空调用冷量和热量的比例应符合表8.2.1的规定（设计分值为10分）。</w:t>
            </w:r>
          </w:p>
        </w:tc>
        <w:tc>
          <w:tcPr>
            <w:tcW w:w="443"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3"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5"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□可再生能源利用率分析报告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52" w:hRule="atLeast"/>
          <w:jc w:val="center"/>
        </w:trPr>
        <w:tc>
          <w:tcPr>
            <w:tcW w:w="428"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8.2.2</w:t>
            </w:r>
          </w:p>
        </w:tc>
        <w:tc>
          <w:tcPr>
            <w:tcW w:w="340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集中空调供暖系统的冷、热源机组能效应符合下列要求（设计分值为10分）：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采用电机驱动的蒸气压缩循环冷水（热泵）机组时，其在名义制冷工况和规定条件下的性能系数（</w:t>
            </w:r>
            <w:r>
              <w:rPr>
                <w:rFonts w:hint="default" w:ascii="Times New Roman" w:hAnsi="Times New Roman" w:eastAsia="宋体" w:cs="Times New Roman"/>
                <w:i/>
                <w:iCs/>
                <w:color w:val="000000"/>
                <w:kern w:val="0"/>
                <w:sz w:val="16"/>
                <w:szCs w:val="16"/>
                <w:u w:val="none"/>
                <w:lang w:val="en-US" w:eastAsia="zh-CN" w:bidi="ar"/>
              </w:rPr>
              <w:t>COP</w:t>
            </w:r>
            <w:r>
              <w:rPr>
                <w:rFonts w:hint="default" w:ascii="Times New Roman" w:hAnsi="Times New Roman" w:eastAsia="宋体" w:cs="Times New Roman"/>
                <w:i w:val="0"/>
                <w:iCs w:val="0"/>
                <w:color w:val="000000"/>
                <w:kern w:val="0"/>
                <w:sz w:val="16"/>
                <w:szCs w:val="16"/>
                <w:u w:val="none"/>
                <w:lang w:val="en-US" w:eastAsia="zh-CN" w:bidi="ar"/>
              </w:rPr>
              <w:t>）不应低于表8.2.2-1的数值；</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采用名义制冷量大于7.1kW、电动驱动的单元式空气调节机、风管送风式和屋顶式空调机组时，其在名义工况和规定条件下的能效比（</w:t>
            </w:r>
            <w:r>
              <w:rPr>
                <w:rFonts w:hint="default" w:ascii="Times New Roman" w:hAnsi="Times New Roman" w:eastAsia="宋体" w:cs="Times New Roman"/>
                <w:i/>
                <w:iCs/>
                <w:color w:val="000000"/>
                <w:kern w:val="0"/>
                <w:sz w:val="16"/>
                <w:szCs w:val="16"/>
                <w:u w:val="none"/>
                <w:lang w:val="en-US" w:eastAsia="zh-CN" w:bidi="ar"/>
              </w:rPr>
              <w:t>EER</w:t>
            </w:r>
            <w:r>
              <w:rPr>
                <w:rFonts w:hint="default" w:ascii="Times New Roman" w:hAnsi="Times New Roman" w:eastAsia="宋体" w:cs="Times New Roman"/>
                <w:i w:val="0"/>
                <w:iCs w:val="0"/>
                <w:color w:val="000000"/>
                <w:kern w:val="0"/>
                <w:sz w:val="16"/>
                <w:szCs w:val="16"/>
                <w:u w:val="none"/>
                <w:lang w:val="en-US" w:eastAsia="zh-CN" w:bidi="ar"/>
              </w:rPr>
              <w:t>）不应低于表8.2.2-2的数值</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采用多联式空调（热泵）机组时，其在名义工况和规定条件下的制冷综合性能系数</w:t>
            </w:r>
            <w:r>
              <w:rPr>
                <w:rFonts w:hint="default" w:ascii="Times New Roman" w:hAnsi="Times New Roman" w:eastAsia="宋体" w:cs="Times New Roman"/>
                <w:i/>
                <w:iCs/>
                <w:color w:val="000000"/>
                <w:kern w:val="0"/>
                <w:sz w:val="16"/>
                <w:szCs w:val="16"/>
                <w:u w:val="none"/>
                <w:lang w:val="en-US" w:eastAsia="zh-CN" w:bidi="ar"/>
              </w:rPr>
              <w:t>IPLV</w:t>
            </w:r>
            <w:r>
              <w:rPr>
                <w:rFonts w:hint="default" w:ascii="Times New Roman" w:hAnsi="Times New Roman" w:eastAsia="宋体" w:cs="Times New Roman"/>
                <w:i w:val="0"/>
                <w:iCs w:val="0"/>
                <w:color w:val="000000"/>
                <w:kern w:val="0"/>
                <w:sz w:val="16"/>
                <w:szCs w:val="16"/>
                <w:u w:val="none"/>
                <w:lang w:val="en-US" w:eastAsia="zh-CN" w:bidi="ar"/>
              </w:rPr>
              <w:t>（C）不应低于表8.2.2-3的数值</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采用直燃型溴化锂吸收式冷（温）水机组时，其在名义工况和规定条件下的性能参数应符合表8.2.2-4规定。</w:t>
            </w:r>
          </w:p>
        </w:tc>
        <w:tc>
          <w:tcPr>
            <w:tcW w:w="443"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3"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5"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65" w:hRule="atLeast"/>
          <w:jc w:val="center"/>
        </w:trPr>
        <w:tc>
          <w:tcPr>
            <w:tcW w:w="428"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8.2.3</w:t>
            </w:r>
          </w:p>
        </w:tc>
        <w:tc>
          <w:tcPr>
            <w:tcW w:w="3407"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名义工况和规定条件下，锅炉的热效率应符合表8.2.3的要求（设计分值为10分）。</w:t>
            </w:r>
          </w:p>
        </w:tc>
        <w:tc>
          <w:tcPr>
            <w:tcW w:w="443"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3"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5"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786" w:hRule="atLeast"/>
          <w:jc w:val="center"/>
        </w:trPr>
        <w:tc>
          <w:tcPr>
            <w:tcW w:w="428"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8.2.4</w:t>
            </w:r>
          </w:p>
        </w:tc>
        <w:tc>
          <w:tcPr>
            <w:tcW w:w="3407"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采用分散式房间空调器时，房间空调器应选择能效等级不低于2级的产品，并应符合下列要求（设计分值为10分）：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热泵型房间空气调节器全年性能系数不应低于表8.2.4-1的数值</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单冷式房间空气调节器制冷季节能源消耗效率不应低于表8.2.4-2的数值。</w:t>
            </w:r>
          </w:p>
        </w:tc>
        <w:tc>
          <w:tcPr>
            <w:tcW w:w="443"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3"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15"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6</w:t>
      </w:r>
    </w:p>
    <w:tbl>
      <w:tblPr>
        <w:tblStyle w:val="34"/>
        <w:tblW w:w="6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367"/>
        <w:gridCol w:w="438"/>
        <w:gridCol w:w="438"/>
        <w:gridCol w:w="13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25"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8.2.5</w:t>
            </w:r>
          </w:p>
        </w:tc>
        <w:tc>
          <w:tcPr>
            <w:tcW w:w="3367"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建筑面积在10000m</w:t>
            </w:r>
            <w:r>
              <w:rPr>
                <w:rFonts w:hint="default"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以上且有稳定热水需求的公共建筑，集中空调供暖系统应采用冷疑热回收型冷水机组（设计分值为3分）。</w:t>
            </w:r>
          </w:p>
        </w:tc>
        <w:tc>
          <w:tcPr>
            <w:tcW w:w="438"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20"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8.2.6</w:t>
            </w:r>
          </w:p>
        </w:tc>
        <w:tc>
          <w:tcPr>
            <w:tcW w:w="336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应采取措施降低过渡季节通风、空调与供暖系统能耗，可选择如下技术措施（设计分值为3分）：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设计定风量全空气调节系统时，采取实现全新风运行或可调新风比的措施，并宜设计相应的排风系统；</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经技术经济分析合理时，采取利用冷却塔提供空气调节冷水的措施。</w:t>
            </w:r>
          </w:p>
        </w:tc>
        <w:tc>
          <w:tcPr>
            <w:tcW w:w="43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76"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8.2.7</w:t>
            </w:r>
          </w:p>
        </w:tc>
        <w:tc>
          <w:tcPr>
            <w:tcW w:w="336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通过主动节能措施降低通风和空调系统的能耗，能耗降低幅度不应小于15%（设计分值为8分）。</w:t>
            </w:r>
          </w:p>
        </w:tc>
        <w:tc>
          <w:tcPr>
            <w:tcW w:w="43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□通风和空调系统能耗降低幅度计算</w:t>
            </w:r>
            <w:r>
              <w:rPr>
                <w:rFonts w:hint="eastAsia"/>
                <w:color w:val="auto"/>
                <w:kern w:val="0"/>
                <w:sz w:val="16"/>
                <w:szCs w:val="16"/>
                <w:lang w:val="en-US" w:eastAsia="zh-CN"/>
              </w:rPr>
              <w:t>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4"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8.2.8</w:t>
            </w:r>
          </w:p>
        </w:tc>
        <w:tc>
          <w:tcPr>
            <w:tcW w:w="336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当通风空调系统和通风系统的风量大于10000m</w:t>
            </w:r>
            <w:r>
              <w:rPr>
                <w:rFonts w:hint="default" w:ascii="Times New Roman" w:hAnsi="Times New Roman" w:eastAsia="宋体" w:cs="Times New Roman"/>
                <w:i w:val="0"/>
                <w:iCs w:val="0"/>
                <w:color w:val="000000"/>
                <w:kern w:val="0"/>
                <w:sz w:val="16"/>
                <w:szCs w:val="16"/>
                <w:u w:val="none"/>
                <w:vertAlign w:val="superscript"/>
                <w:lang w:val="en-US" w:eastAsia="zh-CN" w:bidi="ar"/>
              </w:rPr>
              <w:t>3</w:t>
            </w:r>
            <w:r>
              <w:rPr>
                <w:rFonts w:hint="default" w:ascii="Times New Roman" w:hAnsi="Times New Roman" w:eastAsia="宋体" w:cs="Times New Roman"/>
                <w:i w:val="0"/>
                <w:iCs w:val="0"/>
                <w:color w:val="000000"/>
                <w:kern w:val="0"/>
                <w:sz w:val="16"/>
                <w:szCs w:val="16"/>
                <w:u w:val="none"/>
                <w:lang w:val="en-US" w:eastAsia="zh-CN" w:bidi="ar"/>
              </w:rPr>
              <w:t>/h时，风道系统单位风量耗功率不应大于表8.2.8的数值（设计分值为10分）。</w:t>
            </w:r>
          </w:p>
        </w:tc>
        <w:tc>
          <w:tcPr>
            <w:tcW w:w="438"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74"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8.2.9</w:t>
            </w:r>
          </w:p>
        </w:tc>
        <w:tc>
          <w:tcPr>
            <w:tcW w:w="336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集中空调冷热水系统循环水泵的耗电输冷（热）比应比现行国家标准《民用建筑供暖通风与空气调节设计规范》GB 50736规定值低20%（设计分值为10分）。</w:t>
            </w:r>
          </w:p>
        </w:tc>
        <w:tc>
          <w:tcPr>
            <w:tcW w:w="438"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06" w:hRule="atLeast"/>
          <w:jc w:val="center"/>
        </w:trPr>
        <w:tc>
          <w:tcPr>
            <w:tcW w:w="502"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8.2.10</w:t>
            </w:r>
          </w:p>
        </w:tc>
        <w:tc>
          <w:tcPr>
            <w:tcW w:w="3367"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集中空调供暖系统宜采用变频变流量系统，并符合下列要求（设计分值为3分）：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冷水水温和供回水温差要求一致且各区域管路压力损失相差不大的中小型工程，宜采用一级泵系统</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单台水泵功率较大时，经技术经济比较，在确保设备的适应性、控制方案和运行管理可靠的前提下，冷水机组和负荷侧均应采用一级泵变流量系统；</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水系统作用半径较大、设计水流阻力较大且各环路设计水流阻力相差较大或各系统水温要求不同时应设二级泵系统，且二级泵应采用变频调速泵</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冷水机组可变流量时，一级泵也可采用变频调速泵；</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设计时应编制变频泵运行的控制要求和变频泵运行台数的控制要求。</w:t>
            </w:r>
          </w:p>
        </w:tc>
        <w:tc>
          <w:tcPr>
            <w:tcW w:w="438"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8" w:type="dxa"/>
            <w:tcBorders>
              <w:top w:val="single" w:color="auto" w:sz="4"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1"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6</w:t>
      </w:r>
    </w:p>
    <w:tbl>
      <w:tblPr>
        <w:tblStyle w:val="34"/>
        <w:tblW w:w="6055" w:type="dxa"/>
        <w:tblInd w:w="5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366"/>
        <w:gridCol w:w="440"/>
        <w:gridCol w:w="440"/>
        <w:gridCol w:w="130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03"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8.2.11</w:t>
            </w:r>
          </w:p>
        </w:tc>
        <w:tc>
          <w:tcPr>
            <w:tcW w:w="336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设有集中排风的空调系统，且技术经济合理时，应设置空气－空气能量回收装置，其热交换效率应满足现行国家标准《热回收新风机组》GB/T 21087的要求（设计分值为3分）。</w:t>
            </w:r>
          </w:p>
        </w:tc>
        <w:tc>
          <w:tcPr>
            <w:tcW w:w="440"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39"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8.2.12</w:t>
            </w:r>
          </w:p>
        </w:tc>
        <w:tc>
          <w:tcPr>
            <w:tcW w:w="336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对主要功能房间应采取有效的空气净化处理措施（设计分值为5分）。</w:t>
            </w: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07"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8.2.13</w:t>
            </w:r>
          </w:p>
        </w:tc>
        <w:tc>
          <w:tcPr>
            <w:tcW w:w="336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建筑的高大空间且人员长期停留的空调房间等重要功能区域，通风与空调工况下的气流组织应满足热环境参数设计要求（设计分值为8分）。</w:t>
            </w: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□气流组织分析报告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17"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8.2.14</w:t>
            </w:r>
          </w:p>
        </w:tc>
        <w:tc>
          <w:tcPr>
            <w:tcW w:w="336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采用人工冷热源的建筑，主要功能房间达到现行国家标准《民用建筑室内热湿环境评价标准》GB/T 50785规定的室内人工冷热源热湿环境整体评价Ⅱ级的面积比例应符合表8.2.14的要求（设计分值为6分）。</w:t>
            </w:r>
          </w:p>
        </w:tc>
        <w:tc>
          <w:tcPr>
            <w:tcW w:w="440"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w:t>
            </w:r>
            <w:r>
              <w:rPr>
                <w:rFonts w:hint="eastAsia"/>
                <w:color w:val="auto"/>
                <w:kern w:val="0"/>
                <w:sz w:val="16"/>
                <w:szCs w:val="16"/>
                <w:lang w:val="en-US" w:eastAsia="zh-CN"/>
              </w:rPr>
              <w:t>PMV、PPD预计达标比例分析报告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35" w:hRule="atLeast"/>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8.2.15</w:t>
            </w:r>
          </w:p>
        </w:tc>
        <w:tc>
          <w:tcPr>
            <w:tcW w:w="3366"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公共建筑主要功能房间中人员密度较高且随时间变化大的区域应设置室内空气质量监控系统，且应对室内的二氧化碳浓度进行数据采集、分析，并与通风系统联动（设计分值为6分）。</w:t>
            </w:r>
          </w:p>
        </w:tc>
        <w:tc>
          <w:tcPr>
            <w:tcW w:w="440"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w:t>
            </w:r>
            <w:r>
              <w:rPr>
                <w:rFonts w:hint="eastAsia"/>
                <w:color w:val="auto"/>
                <w:kern w:val="0"/>
                <w:sz w:val="16"/>
                <w:szCs w:val="16"/>
                <w:lang w:eastAsia="zh-CN"/>
              </w:rPr>
              <w:t>电气</w:t>
            </w:r>
            <w:r>
              <w:rPr>
                <w:rFonts w:hint="eastAsia"/>
                <w:color w:val="auto"/>
                <w:kern w:val="0"/>
                <w:sz w:val="16"/>
                <w:szCs w:val="16"/>
              </w:rPr>
              <w:t>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2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8.2.16</w:t>
            </w:r>
          </w:p>
        </w:tc>
        <w:tc>
          <w:tcPr>
            <w:tcW w:w="3366"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宜采用电风扇调风作为室内热环境改善的辅助措施，并宜符合下列要求（设计分值为2分）：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建筑至少有一类场所采用了电风扇调风措施；（1分）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采用电风扇调风措施时宜制定电风扇与空调联合运行策略（1分）。</w:t>
            </w: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0"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7"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w:t>
            </w:r>
            <w:r>
              <w:rPr>
                <w:rFonts w:hint="eastAsia"/>
                <w:color w:val="auto"/>
                <w:kern w:val="0"/>
                <w:sz w:val="16"/>
                <w:szCs w:val="16"/>
                <w:lang w:eastAsia="zh-CN"/>
              </w:rPr>
              <w:t>电气</w:t>
            </w:r>
            <w:r>
              <w:rPr>
                <w:rFonts w:hint="eastAsia"/>
                <w:color w:val="auto"/>
                <w:kern w:val="0"/>
                <w:sz w:val="16"/>
                <w:szCs w:val="16"/>
              </w:rPr>
              <w:t>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trPr>
        <w:tc>
          <w:tcPr>
            <w:tcW w:w="386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53" o:spt="75" type="#_x0000_t75" style="height:15.6pt;width:13pt;" o:ole="t" filled="f" o:preferrelative="t" stroked="f" coordsize="21600,21600">
                  <v:path/>
                  <v:fill on="f" focussize="0,0"/>
                  <v:stroke on="f"/>
                  <v:imagedata r:id="rId12" o:title=""/>
                  <o:lock v:ext="edit" aspectratio="t"/>
                  <w10:wrap type="none"/>
                  <w10:anchorlock/>
                </v:shape>
                <o:OLEObject Type="Embed" ProgID="Equation.KSEE3" ShapeID="_x0000_i1053" DrawAspect="Content" ObjectID="_1468075753" r:id="rId47">
                  <o:LockedField>false</o:LockedField>
                </o:OLEObject>
              </w:object>
            </w: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7"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54" w:hRule="atLeast"/>
        </w:trPr>
        <w:tc>
          <w:tcPr>
            <w:tcW w:w="386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54"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54" DrawAspect="Content" ObjectID="_1468075754" r:id="rId48">
                  <o:LockedField>false</o:LockedField>
                </o:OLEObject>
              </w:object>
            </w: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307"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868"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55"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55" DrawAspect="Content" ObjectID="_1468075755" r:id="rId49">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56" o:spt="75" type="#_x0000_t75" style="height:15.9pt;width:17.9pt;" o:ole="t" filled="f" o:preferrelative="t" stroked="f" coordsize="21600,21600">
                  <v:path/>
                  <v:fill on="f" focussize="0,0"/>
                  <v:stroke on="f"/>
                  <v:imagedata r:id="rId18" o:title=""/>
                  <o:lock v:ext="edit" aspectratio="t"/>
                  <w10:wrap type="none"/>
                  <w10:anchorlock/>
                </v:shape>
                <o:OLEObject Type="Embed" ProgID="Equation.KSEE3" ShapeID="_x0000_i1056" DrawAspect="Content" ObjectID="_1468075756" r:id="rId50">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w:t>
            </w:r>
            <w:r>
              <w:rPr>
                <w:rFonts w:hint="eastAsia" w:ascii="Times New Roman" w:hAnsi="Times New Roman" w:eastAsia="宋体" w:cs="Times New Roman"/>
                <w:i w:val="0"/>
                <w:iCs w:val="0"/>
                <w:color w:val="000000"/>
                <w:kern w:val="0"/>
                <w:sz w:val="16"/>
                <w:szCs w:val="16"/>
                <w:u w:val="none"/>
                <w:lang w:val="en-US" w:eastAsia="zh-CN" w:bidi="ar"/>
              </w:rPr>
              <w:t>107</w:t>
            </w:r>
            <w:r>
              <w:rPr>
                <w:rFonts w:hint="default" w:ascii="Times New Roman" w:hAnsi="Times New Roman" w:cs="Times New Roman"/>
                <w:i w:val="0"/>
                <w:lang w:val="en-US" w:eastAsia="zh-CN"/>
              </w:rPr>
              <w:t>）</w:t>
            </w:r>
          </w:p>
        </w:tc>
        <w:tc>
          <w:tcPr>
            <w:tcW w:w="440"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440"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7"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87" w:hRule="atLeast"/>
        </w:trPr>
        <w:tc>
          <w:tcPr>
            <w:tcW w:w="6055" w:type="dxa"/>
            <w:gridSpan w:val="5"/>
            <w:tcBorders>
              <w:left w:val="single" w:color="auto" w:sz="12" w:space="0"/>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6</w:t>
      </w:r>
    </w:p>
    <w:tbl>
      <w:tblPr>
        <w:tblStyle w:val="34"/>
        <w:tblW w:w="605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43"/>
        <w:gridCol w:w="3407"/>
        <w:gridCol w:w="443"/>
        <w:gridCol w:w="175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70" w:hRule="atLeast"/>
          <w:jc w:val="center"/>
        </w:trPr>
        <w:tc>
          <w:tcPr>
            <w:tcW w:w="443"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07"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3"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1758"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95" w:hRule="atLeast"/>
          <w:jc w:val="center"/>
        </w:trPr>
        <w:tc>
          <w:tcPr>
            <w:tcW w:w="443"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8.3.1</w:t>
            </w:r>
          </w:p>
        </w:tc>
        <w:tc>
          <w:tcPr>
            <w:tcW w:w="340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通过主动节能措施降低通风和空调系统的能耗，能耗降低幅度不应小于40%（设计分值为2分）。</w:t>
            </w:r>
          </w:p>
        </w:tc>
        <w:tc>
          <w:tcPr>
            <w:tcW w:w="443"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5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□通风和空调系统能耗降低幅度计算</w:t>
            </w:r>
            <w:r>
              <w:rPr>
                <w:rFonts w:hint="eastAsia"/>
                <w:color w:val="auto"/>
                <w:kern w:val="0"/>
                <w:sz w:val="16"/>
                <w:szCs w:val="16"/>
                <w:lang w:val="en-US" w:eastAsia="zh-CN"/>
              </w:rPr>
              <w:t>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03" w:hRule="atLeast"/>
          <w:jc w:val="center"/>
        </w:trPr>
        <w:tc>
          <w:tcPr>
            <w:tcW w:w="443"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8.3.2</w:t>
            </w:r>
          </w:p>
        </w:tc>
        <w:tc>
          <w:tcPr>
            <w:tcW w:w="340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根据当地的分时电价政策和建筑物暖通空调负荷的时间分布，经过经济技术比较合理时，民用建筑宜合理采用蓄能系统供冷或供热（设计分值为2分）。</w:t>
            </w:r>
          </w:p>
        </w:tc>
        <w:tc>
          <w:tcPr>
            <w:tcW w:w="443"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5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58" w:hRule="atLeast"/>
          <w:jc w:val="center"/>
        </w:trPr>
        <w:tc>
          <w:tcPr>
            <w:tcW w:w="443"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8.3.3</w:t>
            </w:r>
          </w:p>
        </w:tc>
        <w:tc>
          <w:tcPr>
            <w:tcW w:w="3407"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设计宜采用温湿度独立控制系统，并应符合下列要求（设计分值为2分）：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应根据气候特点，经技术经济分析论证，确定高温冷源的制备方式和新风除湿方式；</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宜考虑全年对天然冷源和可再生能源的应用措施；</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不宜采用再热空气处理方式。</w:t>
            </w:r>
          </w:p>
        </w:tc>
        <w:tc>
          <w:tcPr>
            <w:tcW w:w="443"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58"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jc w:val="center"/>
        </w:trPr>
        <w:tc>
          <w:tcPr>
            <w:tcW w:w="443"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8.3.4</w:t>
            </w:r>
          </w:p>
        </w:tc>
        <w:tc>
          <w:tcPr>
            <w:tcW w:w="3407"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住宅建筑应采用有组织的通风系统（设计分值为1分）。</w:t>
            </w:r>
          </w:p>
        </w:tc>
        <w:tc>
          <w:tcPr>
            <w:tcW w:w="443"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58" w:type="dxa"/>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jc w:val="both"/>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详暖通施工图：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jc w:val="center"/>
        </w:trPr>
        <w:tc>
          <w:tcPr>
            <w:tcW w:w="443"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8.3.5</w:t>
            </w:r>
          </w:p>
        </w:tc>
        <w:tc>
          <w:tcPr>
            <w:tcW w:w="3407"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暖通设计宜采用建筑信息模型（BIM）技术（设计分值为1分）。</w:t>
            </w:r>
          </w:p>
        </w:tc>
        <w:tc>
          <w:tcPr>
            <w:tcW w:w="443"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58"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cs="Times New Roman"/>
                <w:color w:val="auto"/>
                <w:kern w:val="0"/>
                <w:sz w:val="16"/>
                <w:szCs w:val="16"/>
              </w:rPr>
              <w:t>BIM</w:t>
            </w:r>
            <w:r>
              <w:rPr>
                <w:rFonts w:hint="eastAsia"/>
                <w:color w:val="auto"/>
                <w:kern w:val="0"/>
                <w:sz w:val="16"/>
                <w:szCs w:val="16"/>
              </w:rPr>
              <w:t>技术应用报告</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20" w:hRule="atLeast"/>
          <w:jc w:val="center"/>
        </w:trPr>
        <w:tc>
          <w:tcPr>
            <w:tcW w:w="3850"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57" o:spt="75" type="#_x0000_t75" style="height:14.15pt;width:14.2pt;" o:ole="t" filled="f" o:preferrelative="t" stroked="f" coordsize="21600,21600">
                  <v:path/>
                  <v:fill on="f" focussize="0,0"/>
                  <v:stroke on="f"/>
                  <v:imagedata r:id="rId20" o:title=""/>
                  <o:lock v:ext="edit" aspectratio="t"/>
                  <w10:wrap type="none"/>
                  <w10:anchorlock/>
                </v:shape>
                <o:OLEObject Type="Embed" ProgID="Equation.KSEE3" ShapeID="_x0000_i1057" DrawAspect="Content" ObjectID="_1468075757" r:id="rId51">
                  <o:LockedField>false</o:LockedField>
                </o:OLEObject>
              </w:object>
            </w:r>
          </w:p>
        </w:tc>
        <w:tc>
          <w:tcPr>
            <w:tcW w:w="44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758"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3850"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58" o:spt="75" type="#_x0000_t75" style="height:23.75pt;width:79.35pt;" o:ole="t" filled="f" o:preferrelative="t" stroked="f" coordsize="21600,21600">
                  <v:path/>
                  <v:fill on="f" focussize="0,0"/>
                  <v:stroke on="f"/>
                  <v:imagedata r:id="rId22" o:title=""/>
                  <o:lock v:ext="edit" aspectratio="t"/>
                  <w10:wrap type="none"/>
                  <w10:anchorlock/>
                </v:shape>
                <o:OLEObject Type="Embed" ProgID="Equation.KSEE3" ShapeID="_x0000_i1058" DrawAspect="Content" ObjectID="_1468075758" r:id="rId52">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59" o:spt="75" type="#_x0000_t75" style="height:14.15pt;width:11.85pt;" o:ole="t" filled="f" o:preferrelative="t" stroked="f" coordsize="21600,21600">
                  <v:path/>
                  <v:fill on="f" focussize="0,0"/>
                  <v:stroke on="f"/>
                  <v:imagedata r:id="rId24" o:title=""/>
                  <o:lock v:ext="edit" aspectratio="t"/>
                  <w10:wrap type="none"/>
                  <w10:anchorlock/>
                </v:shape>
                <o:OLEObject Type="Embed" ProgID="Equation.KSEE3" ShapeID="_x0000_i1059" DrawAspect="Content" ObjectID="_1468075759" r:id="rId53">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43"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758"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5" w:hRule="atLeast"/>
          <w:jc w:val="center"/>
        </w:trPr>
        <w:tc>
          <w:tcPr>
            <w:tcW w:w="3850"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2201" w:type="dxa"/>
            <w:gridSpan w:val="2"/>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本表由暖通专业填写，并</w:t>
      </w:r>
      <w:r>
        <w:rPr>
          <w:rFonts w:hint="eastAsia" w:cs="Times New Roman"/>
          <w:i w:val="0"/>
          <w:iCs w:val="0"/>
          <w:color w:val="000000"/>
          <w:kern w:val="0"/>
          <w:sz w:val="15"/>
          <w:szCs w:val="15"/>
          <w:u w:val="none"/>
          <w:lang w:val="en-US" w:eastAsia="zh-CN" w:bidi="ar"/>
        </w:rPr>
        <w:t>编</w:t>
      </w:r>
      <w:r>
        <w:rPr>
          <w:rFonts w:hint="default" w:ascii="Times New Roman" w:hAnsi="Times New Roman" w:eastAsia="宋体" w:cs="Times New Roman"/>
          <w:i w:val="0"/>
          <w:iCs w:val="0"/>
          <w:color w:val="000000"/>
          <w:kern w:val="0"/>
          <w:sz w:val="15"/>
          <w:szCs w:val="15"/>
          <w:u w:val="none"/>
          <w:lang w:val="en-US" w:eastAsia="zh-CN" w:bidi="ar"/>
        </w:rPr>
        <w:t>入暖通专业绿色建筑专篇，基本级绿色建筑设计可删除星级设计要求和提高与创新的相关内容；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color w:val="auto"/>
          <w:sz w:val="15"/>
          <w:szCs w:val="15"/>
        </w:rPr>
      </w:pPr>
      <w:r>
        <w:rPr>
          <w:rFonts w:hint="eastAsia" w:ascii="Times New Roman" w:hAnsi="Times New Roman" w:eastAsia="宋体" w:cs="Times New Roman"/>
          <w:i w:val="0"/>
          <w:iCs w:val="0"/>
          <w:color w:val="000000"/>
          <w:kern w:val="0"/>
          <w:sz w:val="15"/>
          <w:szCs w:val="15"/>
          <w:u w:val="none"/>
          <w:lang w:val="en-US" w:eastAsia="zh-CN" w:bidi="ar"/>
        </w:rPr>
        <w:t xml:space="preserve">4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p>
    <w:p>
      <w:pPr>
        <w:pStyle w:val="41"/>
        <w:rPr>
          <w:rFonts w:hint="default" w:ascii="Times New Roman" w:hAnsi="Times New Roman" w:eastAsia="宋体" w:cs="Times New Roman"/>
          <w:color w:val="auto"/>
          <w:sz w:val="21"/>
          <w:szCs w:val="20"/>
        </w:rPr>
        <w:sectPr>
          <w:headerReference r:id="rId7" w:type="default"/>
          <w:footerReference r:id="rId8" w:type="default"/>
          <w:pgSz w:w="7937" w:h="11509"/>
          <w:pgMar w:top="1134" w:right="964" w:bottom="1020" w:left="964" w:header="851" w:footer="737" w:gutter="0"/>
          <w:pgBorders>
            <w:top w:val="none" w:sz="0" w:space="0"/>
            <w:left w:val="none" w:sz="0" w:space="0"/>
            <w:bottom w:val="none" w:sz="0" w:space="0"/>
            <w:right w:val="none" w:sz="0" w:space="0"/>
          </w:pgBorders>
          <w:pgNumType w:fmt="decimal"/>
          <w:cols w:space="720" w:num="1"/>
          <w:docGrid w:type="lines" w:linePitch="312" w:charSpace="0"/>
        </w:sectPr>
      </w:pPr>
    </w:p>
    <w:p>
      <w:pPr>
        <w:spacing w:before="249" w:beforeLines="80" w:after="62" w:afterLines="20" w:line="240" w:lineRule="auto"/>
        <w:jc w:val="center"/>
        <w:outlineLvl w:val="1"/>
        <w:rPr>
          <w:rFonts w:hint="default" w:ascii="Times New Roman" w:hAnsi="Times New Roman" w:eastAsia="黑体" w:cs="Times New Roman"/>
          <w:b w:val="0"/>
          <w:bCs w:val="0"/>
          <w:color w:val="auto"/>
          <w:sz w:val="18"/>
          <w:szCs w:val="18"/>
        </w:rPr>
      </w:pPr>
      <w:bookmarkStart w:id="52" w:name="_Toc9797"/>
      <w:bookmarkStart w:id="53" w:name="_Toc17657"/>
      <w:bookmarkStart w:id="54" w:name="_Toc23901"/>
      <w:bookmarkStart w:id="55" w:name="_Toc1375"/>
      <w:bookmarkStart w:id="56" w:name="_Toc19837"/>
      <w:bookmarkStart w:id="57" w:name="_Toc30057"/>
      <w:bookmarkStart w:id="58" w:name="_Toc16213"/>
      <w:r>
        <w:rPr>
          <w:rFonts w:hint="default" w:ascii="Times New Roman" w:hAnsi="Times New Roman" w:eastAsia="黑体" w:cs="Times New Roman"/>
          <w:b w:val="0"/>
          <w:bCs w:val="0"/>
          <w:color w:val="auto"/>
          <w:sz w:val="18"/>
          <w:szCs w:val="18"/>
        </w:rPr>
        <w:t>表C-7  电气设计绿色建筑技术措施汇总表</w:t>
      </w:r>
      <w:bookmarkEnd w:id="52"/>
      <w:bookmarkEnd w:id="53"/>
      <w:bookmarkEnd w:id="54"/>
      <w:bookmarkEnd w:id="55"/>
      <w:bookmarkEnd w:id="56"/>
      <w:bookmarkEnd w:id="57"/>
      <w:bookmarkEnd w:id="58"/>
    </w:p>
    <w:tbl>
      <w:tblPr>
        <w:tblStyle w:val="34"/>
        <w:tblW w:w="604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437"/>
        <w:gridCol w:w="3865"/>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6046" w:type="dxa"/>
            <w:gridSpan w:val="4"/>
            <w:tcBorders>
              <w:top w:val="single" w:color="auto" w:sz="12"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一般规定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00" w:hRule="atLeast"/>
          <w:jc w:val="center"/>
        </w:trPr>
        <w:tc>
          <w:tcPr>
            <w:tcW w:w="43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自评</w:t>
            </w:r>
          </w:p>
        </w:tc>
        <w:tc>
          <w:tcPr>
            <w:tcW w:w="130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2" w:hRule="atLeast"/>
          <w:jc w:val="center"/>
        </w:trPr>
        <w:tc>
          <w:tcPr>
            <w:tcW w:w="43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9.1.1</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变配电所</w:t>
            </w:r>
            <w:r>
              <w:rPr>
                <w:rFonts w:hint="eastAsia" w:cs="Times New Roman"/>
                <w:i w:val="0"/>
                <w:iCs w:val="0"/>
                <w:color w:val="000000"/>
                <w:kern w:val="0"/>
                <w:sz w:val="16"/>
                <w:szCs w:val="16"/>
                <w:u w:val="none"/>
                <w:lang w:val="en-US" w:eastAsia="zh-CN" w:bidi="ar"/>
              </w:rPr>
              <w:t>宜</w:t>
            </w:r>
            <w:r>
              <w:rPr>
                <w:rFonts w:hint="default" w:ascii="Times New Roman" w:hAnsi="Times New Roman" w:eastAsia="宋体" w:cs="Times New Roman"/>
                <w:i w:val="0"/>
                <w:iCs w:val="0"/>
                <w:color w:val="000000"/>
                <w:kern w:val="0"/>
                <w:sz w:val="16"/>
                <w:szCs w:val="16"/>
                <w:u w:val="none"/>
                <w:lang w:val="en-US" w:eastAsia="zh-CN" w:bidi="ar"/>
              </w:rPr>
              <w:t>靠近负荷中心，并应合理安排线路敷设路径。</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95" w:hRule="atLeast"/>
          <w:jc w:val="center"/>
        </w:trPr>
        <w:tc>
          <w:tcPr>
            <w:tcW w:w="43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9.1.2</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各房间或场所的照明功率密度值不应高于现行国家标准《建筑节能与可再生能源利用通用规范》GB</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55015中的限值要求。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358" w:hRule="atLeast"/>
          <w:jc w:val="center"/>
        </w:trPr>
        <w:tc>
          <w:tcPr>
            <w:tcW w:w="43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9.1.3</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建筑照明数量和质量指标应符合下列规定：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1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建筑物各房间或场所的照明标准值应符合</w:t>
            </w:r>
            <w:r>
              <w:rPr>
                <w:rFonts w:hint="eastAsia" w:cs="Times New Roman"/>
                <w:i w:val="0"/>
                <w:iCs w:val="0"/>
                <w:color w:val="000000"/>
                <w:kern w:val="0"/>
                <w:sz w:val="16"/>
                <w:szCs w:val="16"/>
                <w:u w:val="none"/>
                <w:lang w:val="en-US" w:eastAsia="zh-CN" w:bidi="ar"/>
              </w:rPr>
              <w:t>现行</w:t>
            </w:r>
            <w:r>
              <w:rPr>
                <w:rFonts w:hint="default" w:ascii="Times New Roman" w:hAnsi="Times New Roman" w:eastAsia="宋体" w:cs="Times New Roman"/>
                <w:i w:val="0"/>
                <w:iCs w:val="0"/>
                <w:color w:val="000000"/>
                <w:kern w:val="0"/>
                <w:sz w:val="16"/>
                <w:szCs w:val="16"/>
                <w:u w:val="none"/>
                <w:lang w:val="en-US" w:eastAsia="zh-CN" w:bidi="ar"/>
              </w:rPr>
              <w:t>国家标准《建筑照明设计标准》GB 50034的规定；公共建筑常用房间或场所的一般照明照度均匀度（</w:t>
            </w:r>
            <w:r>
              <w:rPr>
                <w:rFonts w:hint="default" w:ascii="Times New Roman" w:hAnsi="Times New Roman" w:eastAsia="宋体" w:cs="Times New Roman"/>
                <w:i/>
                <w:iCs/>
                <w:color w:val="000000"/>
                <w:kern w:val="0"/>
                <w:sz w:val="16"/>
                <w:szCs w:val="16"/>
                <w:u w:val="none"/>
                <w:lang w:val="en-US" w:eastAsia="zh-CN" w:bidi="ar"/>
              </w:rPr>
              <w:t>U</w:t>
            </w:r>
            <w:r>
              <w:rPr>
                <w:rFonts w:hint="default" w:ascii="Times New Roman" w:hAnsi="Times New Roman" w:eastAsia="宋体" w:cs="Times New Roman"/>
                <w:i w:val="0"/>
                <w:iCs w:val="0"/>
                <w:color w:val="000000"/>
                <w:kern w:val="0"/>
                <w:sz w:val="16"/>
                <w:szCs w:val="16"/>
                <w:u w:val="none"/>
                <w:vertAlign w:val="subscript"/>
                <w:lang w:val="en-US" w:eastAsia="zh-CN" w:bidi="ar"/>
              </w:rPr>
              <w:t>o</w:t>
            </w:r>
            <w:r>
              <w:rPr>
                <w:rFonts w:hint="default" w:ascii="Times New Roman" w:hAnsi="Times New Roman" w:eastAsia="宋体" w:cs="Times New Roman"/>
                <w:i w:val="0"/>
                <w:iCs w:val="0"/>
                <w:color w:val="000000"/>
                <w:kern w:val="0"/>
                <w:sz w:val="16"/>
                <w:szCs w:val="16"/>
                <w:u w:val="none"/>
                <w:lang w:val="en-US" w:eastAsia="zh-CN" w:bidi="ar"/>
              </w:rPr>
              <w:t>）不应低于现行国家标准《建筑照明设计标准》GB 50034的规定；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设计照度与照度标准值的偏差不应超过±10%；</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3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长期工作或停留的房间或场所，照明光源的显色指数（</w:t>
            </w:r>
            <w:r>
              <w:rPr>
                <w:rFonts w:hint="default" w:ascii="Times New Roman" w:hAnsi="Times New Roman" w:eastAsia="宋体" w:cs="Times New Roman"/>
                <w:i/>
                <w:iCs/>
                <w:color w:val="000000"/>
                <w:kern w:val="0"/>
                <w:sz w:val="16"/>
                <w:szCs w:val="16"/>
                <w:u w:val="none"/>
                <w:lang w:val="en-US" w:eastAsia="zh-CN" w:bidi="ar"/>
              </w:rPr>
              <w:t>R</w:t>
            </w:r>
            <w:r>
              <w:rPr>
                <w:rFonts w:hint="default" w:ascii="Times New Roman" w:hAnsi="Times New Roman" w:eastAsia="宋体" w:cs="Times New Roman"/>
                <w:i w:val="0"/>
                <w:iCs w:val="0"/>
                <w:color w:val="000000"/>
                <w:kern w:val="0"/>
                <w:sz w:val="16"/>
                <w:szCs w:val="16"/>
                <w:u w:val="none"/>
                <w:vertAlign w:val="subscript"/>
                <w:lang w:val="en-US" w:eastAsia="zh-CN" w:bidi="ar"/>
              </w:rPr>
              <w:t>a</w:t>
            </w:r>
            <w:r>
              <w:rPr>
                <w:rFonts w:hint="default" w:ascii="Times New Roman" w:hAnsi="Times New Roman" w:eastAsia="宋体" w:cs="Times New Roman"/>
                <w:i w:val="0"/>
                <w:iCs w:val="0"/>
                <w:color w:val="000000"/>
                <w:kern w:val="0"/>
                <w:sz w:val="16"/>
                <w:szCs w:val="16"/>
                <w:u w:val="none"/>
                <w:lang w:val="en-US" w:eastAsia="zh-CN" w:bidi="ar"/>
              </w:rPr>
              <w:t>）不应小于80；</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4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长期工作或停留的房间或场所，应采用符合现行国家标准《灯和灯系统的光生物安全性》GB/T 20145规定的无危险类照明产品；</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 xml:space="preserve">5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长期工作或停留的房间或场所，选用LED照明产品的光输出波形的波动深度应满足现行国家标准《LED室内照明应用技术要求》GB/T 31831的规定；</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6 </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长期工作或停留的房间或场所，选用的直接型灯具的遮光角不应小于表9.1.3的规定。</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39" w:hRule="atLeast"/>
          <w:jc w:val="center"/>
        </w:trPr>
        <w:tc>
          <w:tcPr>
            <w:tcW w:w="437"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9.1.4</w:t>
            </w:r>
          </w:p>
        </w:tc>
        <w:tc>
          <w:tcPr>
            <w:tcW w:w="386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停车场应具有电动汽车充电设施或具备充电设施的安装条件，并应符合现行福建省工程建设地方标准《福建省电动汽车充电基础设施建设技术规程》DBJ 13-278要求。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39" w:hRule="atLeast"/>
          <w:jc w:val="center"/>
        </w:trPr>
        <w:tc>
          <w:tcPr>
            <w:tcW w:w="437"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9.1.5</w:t>
            </w:r>
          </w:p>
        </w:tc>
        <w:tc>
          <w:tcPr>
            <w:tcW w:w="386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公共建筑及居住建筑的大堂应设置用于应急救护的电源插座。</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91" w:hRule="atLeast"/>
          <w:jc w:val="center"/>
        </w:trPr>
        <w:tc>
          <w:tcPr>
            <w:tcW w:w="437" w:type="dxa"/>
            <w:tcBorders>
              <w:top w:val="single" w:color="auto" w:sz="4"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9.1.6</w:t>
            </w:r>
          </w:p>
        </w:tc>
        <w:tc>
          <w:tcPr>
            <w:tcW w:w="3865"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垂直电梯应采取群控、变频调速或能量反馈等节能措施；自动扶梯、自动人行道应采用变频感应启动等节能控制措施。</w:t>
            </w:r>
          </w:p>
        </w:tc>
        <w:tc>
          <w:tcPr>
            <w:tcW w:w="441" w:type="dxa"/>
            <w:tcBorders>
              <w:top w:val="single" w:color="auto" w:sz="4"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4"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5"/>
        <w:gridCol w:w="441"/>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74" w:hRule="atLeast"/>
          <w:jc w:val="center"/>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9.1.7</w:t>
            </w:r>
          </w:p>
        </w:tc>
        <w:tc>
          <w:tcPr>
            <w:tcW w:w="3866" w:type="dxa"/>
            <w:gridSpan w:val="2"/>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地下车库应设置一氧化碳浓度监测装置，且应联动控制机械通风设备的运行。</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49"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9.1.8</w:t>
            </w:r>
          </w:p>
        </w:tc>
        <w:tc>
          <w:tcPr>
            <w:tcW w:w="386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冷热源、输配系统和照明等各部分能耗应进行独立分项计量。</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40"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9.1.9</w:t>
            </w:r>
          </w:p>
        </w:tc>
        <w:tc>
          <w:tcPr>
            <w:tcW w:w="386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国家机关办公建筑和总建筑面积10000</w:t>
            </w:r>
            <w:r>
              <w:rPr>
                <w:rFonts w:hint="eastAsia" w:ascii="Times New Roman" w:hAnsi="Times New Roman" w:eastAsia="宋体" w:cs="Times New Roman"/>
                <w:i w:val="0"/>
                <w:iCs w:val="0"/>
                <w:color w:val="000000"/>
                <w:kern w:val="0"/>
                <w:sz w:val="16"/>
                <w:szCs w:val="16"/>
                <w:u w:val="none"/>
                <w:lang w:val="en-US" w:eastAsia="zh-CN" w:bidi="ar"/>
              </w:rPr>
              <w:t>m</w:t>
            </w:r>
            <w:r>
              <w:rPr>
                <w:rFonts w:hint="eastAsia" w:ascii="Times New Roman" w:hAnsi="Times New Roman" w:eastAsia="宋体" w:cs="Times New Roman"/>
                <w:i w:val="0"/>
                <w:iCs w:val="0"/>
                <w:color w:val="000000"/>
                <w:kern w:val="0"/>
                <w:sz w:val="16"/>
                <w:szCs w:val="16"/>
                <w:u w:val="none"/>
                <w:vertAlign w:val="superscript"/>
                <w:lang w:val="en-US" w:eastAsia="zh-CN" w:bidi="ar"/>
              </w:rPr>
              <w:t>2</w:t>
            </w:r>
            <w:r>
              <w:rPr>
                <w:rFonts w:hint="default" w:ascii="Times New Roman" w:hAnsi="Times New Roman" w:eastAsia="宋体" w:cs="Times New Roman"/>
                <w:i w:val="0"/>
                <w:iCs w:val="0"/>
                <w:color w:val="000000"/>
                <w:kern w:val="0"/>
                <w:sz w:val="16"/>
                <w:szCs w:val="16"/>
                <w:u w:val="none"/>
                <w:lang w:val="en-US" w:eastAsia="zh-CN" w:bidi="ar"/>
              </w:rPr>
              <w:t>以上的其他公共建筑应安装建筑能耗在线监测分项计量装置，并具备将所采集的数据连续实时上传至建筑能耗监测平台的功能。分项计量装置的设计应符合现行福建省工程建设地方标准《福建省公共建筑能耗监测系统技术规程》DBJ/T</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13-158的要求。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40"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9.1.10</w:t>
            </w:r>
          </w:p>
        </w:tc>
        <w:tc>
          <w:tcPr>
            <w:tcW w:w="386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建筑设备管理系统应具有自动监控管理功能。</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2"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9.1.11</w:t>
            </w:r>
          </w:p>
        </w:tc>
        <w:tc>
          <w:tcPr>
            <w:tcW w:w="386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建筑应设置信息网络系统。建筑内通信管道的管孔容量、用户接入点处为配线设备预留的安装空间、电信间及设备间房屋面积应满足至少3家电信业务经营者通信业务接入的需要。</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97" w:hRule="atLeast"/>
          <w:jc w:val="center"/>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9.1.12</w:t>
            </w:r>
          </w:p>
        </w:tc>
        <w:tc>
          <w:tcPr>
            <w:tcW w:w="3866" w:type="dxa"/>
            <w:gridSpan w:val="2"/>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当采用太阳能光伏发电系统时，应与建筑一体化设计，且应符合现行福建省工程建设地方标准《建筑太阳能光伏系统应用技术规程》DBJ/T 13-157的要求。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□详太阳能光伏发电系统施工图：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61" w:hRule="atLeast"/>
          <w:jc w:val="center"/>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9.1.1</w:t>
            </w:r>
            <w:r>
              <w:rPr>
                <w:rFonts w:hint="eastAsia" w:ascii="Times New Roman" w:hAnsi="Times New Roman" w:eastAsia="宋体" w:cs="Times New Roman"/>
                <w:i w:val="0"/>
                <w:iCs w:val="0"/>
                <w:color w:val="000000"/>
                <w:kern w:val="0"/>
                <w:sz w:val="16"/>
                <w:szCs w:val="16"/>
                <w:u w:val="none"/>
                <w:lang w:val="en-US" w:eastAsia="zh-CN" w:bidi="ar"/>
              </w:rPr>
              <w:t>3</w:t>
            </w:r>
          </w:p>
        </w:tc>
        <w:tc>
          <w:tcPr>
            <w:tcW w:w="3866" w:type="dxa"/>
            <w:gridSpan w:val="2"/>
            <w:tcBorders>
              <w:bottom w:val="single" w:color="auto" w:sz="4" w:space="0"/>
            </w:tcBorders>
            <w:vAlign w:val="center"/>
          </w:tcPr>
          <w:p>
            <w:pPr>
              <w:pStyle w:val="41"/>
              <w:rPr>
                <w:rFonts w:hint="eastAsia" w:ascii="Times New Roman" w:hAnsi="Times New Roman" w:eastAsia="宋体" w:cs="Times New Roman"/>
                <w:color w:val="000000"/>
                <w:kern w:val="0"/>
                <w:sz w:val="16"/>
                <w:szCs w:val="16"/>
                <w:lang w:eastAsia="zh-CN" w:bidi="ar"/>
              </w:rPr>
            </w:pPr>
            <w:r>
              <w:rPr>
                <w:rFonts w:hint="default" w:ascii="Times New Roman" w:hAnsi="Times New Roman" w:eastAsia="宋体" w:cs="Times New Roman"/>
                <w:color w:val="000000"/>
                <w:kern w:val="0"/>
                <w:sz w:val="16"/>
                <w:szCs w:val="16"/>
                <w:lang w:bidi="ar"/>
              </w:rPr>
              <w:t>设置有电动自行车集中充电的场所，应设置供充电使用的配电箱，其配电回路应符合下列要求</w:t>
            </w:r>
            <w:r>
              <w:rPr>
                <w:rFonts w:hint="eastAsia" w:ascii="Times New Roman" w:cs="Times New Roman"/>
                <w:color w:val="000000"/>
                <w:kern w:val="0"/>
                <w:sz w:val="16"/>
                <w:szCs w:val="16"/>
                <w:lang w:eastAsia="zh-CN" w:bidi="ar"/>
              </w:rPr>
              <w:t>：</w:t>
            </w:r>
          </w:p>
          <w:p>
            <w:pPr>
              <w:pStyle w:val="41"/>
              <w:rPr>
                <w:rFonts w:hint="default" w:ascii="Times New Roman" w:hAnsi="Times New Roman" w:eastAsia="宋体" w:cs="Times New Roman"/>
                <w:color w:val="000000"/>
                <w:kern w:val="0"/>
                <w:sz w:val="16"/>
                <w:szCs w:val="16"/>
                <w:lang w:bidi="ar"/>
              </w:rPr>
            </w:pPr>
            <w:r>
              <w:rPr>
                <w:rFonts w:hint="default" w:ascii="Times New Roman" w:hAnsi="Times New Roman" w:eastAsia="宋体" w:cs="Times New Roman"/>
                <w:color w:val="000000"/>
                <w:kern w:val="0"/>
                <w:sz w:val="16"/>
                <w:szCs w:val="16"/>
                <w:lang w:bidi="ar"/>
              </w:rPr>
              <w:t>1  每一分支回路连接的充电插座不应超过10个；</w:t>
            </w:r>
          </w:p>
          <w:p>
            <w:pPr>
              <w:pStyle w:val="41"/>
              <w:rPr>
                <w:rFonts w:hint="default" w:ascii="Times New Roman" w:hAnsi="Times New Roman" w:eastAsia="宋体" w:cs="Times New Roman"/>
                <w:color w:val="000000"/>
                <w:kern w:val="0"/>
                <w:sz w:val="16"/>
                <w:szCs w:val="16"/>
                <w:lang w:bidi="ar"/>
              </w:rPr>
            </w:pPr>
            <w:r>
              <w:rPr>
                <w:rFonts w:hint="default" w:ascii="Times New Roman" w:hAnsi="Times New Roman" w:eastAsia="宋体" w:cs="Times New Roman"/>
                <w:color w:val="000000"/>
                <w:kern w:val="0"/>
                <w:sz w:val="16"/>
                <w:szCs w:val="16"/>
                <w:lang w:bidi="ar"/>
              </w:rPr>
              <w:t>2  应具备过载保护、短路保护、剩余电流保护功能；</w:t>
            </w:r>
          </w:p>
          <w:p>
            <w:pPr>
              <w:pStyle w:val="41"/>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color w:val="000000"/>
                <w:kern w:val="0"/>
                <w:sz w:val="16"/>
                <w:szCs w:val="16"/>
                <w:lang w:bidi="ar"/>
              </w:rPr>
              <w:t>3  应设置限流式电气防火保护器。</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jc w:val="center"/>
        </w:trPr>
        <w:tc>
          <w:tcPr>
            <w:tcW w:w="6112" w:type="dxa"/>
            <w:gridSpan w:val="5"/>
            <w:tcBorders>
              <w:top w:val="single" w:color="auto" w:sz="4" w:space="0"/>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星级设计要求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20" w:hRule="atLeast"/>
          <w:jc w:val="center"/>
        </w:trPr>
        <w:tc>
          <w:tcPr>
            <w:tcW w:w="502" w:type="dxa"/>
            <w:tcBorders>
              <w:left w:val="single" w:color="auto" w:sz="12"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25" w:type="dxa"/>
            <w:tcBorders>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tcBorders>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441" w:type="dxa"/>
            <w:tcBorders>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不适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用分</w:t>
            </w:r>
          </w:p>
        </w:tc>
        <w:tc>
          <w:tcPr>
            <w:tcW w:w="1303" w:type="dxa"/>
            <w:tcBorders>
              <w:bottom w:val="single" w:color="auto" w:sz="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155" w:hRule="atLeast"/>
          <w:jc w:val="center"/>
        </w:trPr>
        <w:tc>
          <w:tcPr>
            <w:tcW w:w="502" w:type="dxa"/>
            <w:tcBorders>
              <w:top w:val="single" w:color="auto" w:sz="2"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w:t>
            </w:r>
          </w:p>
        </w:tc>
        <w:tc>
          <w:tcPr>
            <w:tcW w:w="3425"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用户用电设备总容量在100kW以上或用户受电容量需用变压器在50kVA以上时，宜采用10kV电压等级供电（设计分值为1分）。</w:t>
            </w:r>
          </w:p>
        </w:tc>
        <w:tc>
          <w:tcPr>
            <w:tcW w:w="441"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2"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5"/>
        <w:gridCol w:w="441"/>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04"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w:t>
            </w:r>
          </w:p>
        </w:tc>
        <w:tc>
          <w:tcPr>
            <w:tcW w:w="34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应合理选择电动机的电压等级，并符合以下规定（设计分值为2分）：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单台容量在650kW及以上的电动机应采用10kV中压供电（1分）；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单台容量在400kW及以上的电动机应采用10kV中压供电（2分）。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22"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9.2.3</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380V/220V供电干线的供电半径不应大于250m（设计分值为2分）。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63"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9.2.4</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无功补偿宜在低压侧集中补偿；对于三相不平衡或采用单相配电的供配电系统，应采用分相无功自动补偿装置（设计分值为2分）。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679"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9.2.5</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功率因数无功补偿应符合下列规定（设计分值为2分）：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100kVA及以上10kV供电的电力用户，在高峰负荷时的功率因数不宜低于0.95；其它电力用户，功率因数不宜低于0.90；</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变压器低压侧的无功补偿装置应具有抑制谐波和抑制涌流的功能。</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78"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9.2.6</w:t>
            </w:r>
          </w:p>
        </w:tc>
        <w:tc>
          <w:tcPr>
            <w:tcW w:w="34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当单台或成组用电设备的无功功率大于100kVA，且距变压器较远时，宜就地补偿（设计分值为1分）。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18" w:hRule="atLeast"/>
        </w:trPr>
        <w:tc>
          <w:tcPr>
            <w:tcW w:w="502" w:type="dxa"/>
            <w:tcBorders>
              <w:top w:val="single" w:color="auto" w:sz="4" w:space="0"/>
              <w:left w:val="single" w:color="auto" w:sz="12"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9.2.7</w:t>
            </w:r>
          </w:p>
        </w:tc>
        <w:tc>
          <w:tcPr>
            <w:tcW w:w="3425"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当供配电系统谐波或设备谐波超出相关国家或地方标准的谐波限值规定时，应对建筑内的主要电气和电子设备或其所在线路采取高次谐波抑制和治理，并应符合下列规定（设计分值为2分）：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应对谐波源的性质、谐波参数等进行分析，有针对性地采取谐波抑制和谐波治理措施；</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光控柜、CT机等功率较大、谐波严重的设备，应由变电所专线供电。</w:t>
            </w:r>
          </w:p>
        </w:tc>
        <w:tc>
          <w:tcPr>
            <w:tcW w:w="441"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bottom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4" w:space="0"/>
              <w:bottom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16" w:hRule="atLeast"/>
        </w:trPr>
        <w:tc>
          <w:tcPr>
            <w:tcW w:w="502" w:type="dxa"/>
            <w:tcBorders>
              <w:top w:val="single" w:color="auto" w:sz="2"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9.2.8</w:t>
            </w:r>
          </w:p>
        </w:tc>
        <w:tc>
          <w:tcPr>
            <w:tcW w:w="3425"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供配电系统中具有较大谐波干扰的地点应设置有源滤波装置（设计分值为2分）。</w:t>
            </w:r>
          </w:p>
        </w:tc>
        <w:tc>
          <w:tcPr>
            <w:tcW w:w="441"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2"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626"/>
        <w:gridCol w:w="432"/>
        <w:gridCol w:w="432"/>
        <w:gridCol w:w="11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3016"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9.2.9</w:t>
            </w:r>
          </w:p>
        </w:tc>
        <w:tc>
          <w:tcPr>
            <w:tcW w:w="3626"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供电电源及低压配电电源质量应符合下列要求（设计分值为2分）：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用电单位受电端电压允许偏差：三相380V供电为标称电压的±7%；单相220V供电为标称电压的-10%～</w:t>
            </w:r>
            <w:r>
              <w:rPr>
                <w:rFonts w:hint="eastAsia"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7%；</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正常运行情况下用电设备端子处额定电压的允许偏差：室内照明为±5%，一般用途电动机为±5%、电梯电动机为±7%，其他无特殊规定设备为±5%；</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  10kV及以下配电变压器低压侧，功率因数不低于0.9；</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  380V的电网标称电压谐波限值：电压谐波总畸变率（</w:t>
            </w:r>
            <w:r>
              <w:rPr>
                <w:rFonts w:hint="default" w:ascii="Times New Roman" w:hAnsi="Times New Roman" w:eastAsia="宋体" w:cs="Times New Roman"/>
                <w:i/>
                <w:iCs/>
                <w:color w:val="000000"/>
                <w:kern w:val="0"/>
                <w:sz w:val="16"/>
                <w:szCs w:val="16"/>
                <w:u w:val="none"/>
                <w:lang w:val="en-US" w:eastAsia="zh-CN" w:bidi="ar"/>
              </w:rPr>
              <w:t>THDu</w:t>
            </w:r>
            <w:r>
              <w:rPr>
                <w:rFonts w:hint="default" w:ascii="Times New Roman" w:hAnsi="Times New Roman" w:eastAsia="宋体" w:cs="Times New Roman"/>
                <w:i w:val="0"/>
                <w:iCs w:val="0"/>
                <w:color w:val="000000"/>
                <w:kern w:val="0"/>
                <w:sz w:val="16"/>
                <w:szCs w:val="16"/>
                <w:u w:val="none"/>
                <w:lang w:val="en-US" w:eastAsia="zh-CN" w:bidi="ar"/>
              </w:rPr>
              <w:t>）为5%，奇次（l次～25次）谐波含有率为4%，偶次（2次～24次）谐波含有率为2%；</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  谐波电流不应超过表9.2.9中规定的允许值。</w:t>
            </w:r>
          </w:p>
        </w:tc>
        <w:tc>
          <w:tcPr>
            <w:tcW w:w="432"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2"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20"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938"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9.2.10</w:t>
            </w:r>
          </w:p>
        </w:tc>
        <w:tc>
          <w:tcPr>
            <w:tcW w:w="3626"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除有特殊要求的场所外，应选用高效照明光源、灯具及其节能附件，并应符合下列要求（设计分值为3分）：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选用的照明光源、镇流器的能效应符合相关能效标准的节能评价值；</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除对商场、博物馆显色要求高的重点照明可采用卤钨灯外，一般场所不应选用卤钨灯；</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  一般照明不应采用荧光高压汞灯；</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  一般照明在满足照度均匀度条件下，宜选择单灯功率较大、光效较高的光源；</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  气体放电灯灯具的配电线路功率因数不应低于0.9。</w:t>
            </w:r>
          </w:p>
        </w:tc>
        <w:tc>
          <w:tcPr>
            <w:tcW w:w="432"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2"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20"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276" w:hRule="atLeast"/>
        </w:trPr>
        <w:tc>
          <w:tcPr>
            <w:tcW w:w="502" w:type="dxa"/>
            <w:tcBorders>
              <w:top w:val="single" w:color="auto" w:sz="4" w:space="0"/>
              <w:left w:val="single" w:color="auto" w:sz="12"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9.2.11</w:t>
            </w:r>
          </w:p>
        </w:tc>
        <w:tc>
          <w:tcPr>
            <w:tcW w:w="3626"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走道、楼梯间、卫生间、车库、室外等无人长期停留的场所，应选用发光二极管（LED）灯（设计分值为2分）。</w:t>
            </w:r>
          </w:p>
        </w:tc>
        <w:tc>
          <w:tcPr>
            <w:tcW w:w="432"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2" w:type="dxa"/>
            <w:tcBorders>
              <w:top w:val="single" w:color="auto" w:sz="4" w:space="0"/>
              <w:bottom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20" w:type="dxa"/>
            <w:tcBorders>
              <w:top w:val="single" w:color="auto" w:sz="4" w:space="0"/>
              <w:bottom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 w:hRule="atLeast"/>
        </w:trPr>
        <w:tc>
          <w:tcPr>
            <w:tcW w:w="502" w:type="dxa"/>
            <w:tcBorders>
              <w:top w:val="single" w:color="auto" w:sz="2" w:space="0"/>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9.2.12</w:t>
            </w:r>
          </w:p>
        </w:tc>
        <w:tc>
          <w:tcPr>
            <w:tcW w:w="3626"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根据建筑的照明要求，采取相应的节能控制措施并合理利用天然采光（设计分值为5分）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在具有天然采光条件或天然采光设施的区域，应采取合理的人工照明布置及控制措施（1分）；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2  走廊、楼梯间、门厅、大堂、大空间、地下停车场等场所的照明系统应采取分区、定时或感应等节能控制措施（1分）；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3  旅馆客房应设置节电控制型总开关（1分）；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4  道路、景观照明应集中分组控制，并具备深夜减光控制功能；景观照明应设置平时、节日等多种照明模式（1分）。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5  根据建筑的照明要求，设置智能照明控制系统，并具有随室外自然光的变化自动控制或调节人工照明照度的功能（1分）。</w:t>
            </w:r>
          </w:p>
        </w:tc>
        <w:tc>
          <w:tcPr>
            <w:tcW w:w="432" w:type="dxa"/>
            <w:tcBorders>
              <w:top w:val="single" w:color="auto" w:sz="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32" w:type="dxa"/>
            <w:tcBorders>
              <w:top w:val="single" w:color="auto" w:sz="2" w:space="0"/>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120" w:type="dxa"/>
            <w:tcBorders>
              <w:top w:val="single" w:color="auto" w:sz="2" w:space="0"/>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5"/>
        <w:gridCol w:w="441"/>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02"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9.2.13</w:t>
            </w:r>
          </w:p>
        </w:tc>
        <w:tc>
          <w:tcPr>
            <w:tcW w:w="34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室外照度标准、照明功率密度满足现行行业标准《城市夜景照明设计规范》JGJ/T 163和《城市道路照明设计标准》CJJ 45的相关要求（设计分值为2分）。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65"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9.2.14</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景观照明设计应减少光污染，并符合以下要求（设计分值为2分）：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室外景观、环境照明、航空障碍灯等的灯光不应直接射入室内；</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居住建筑的主体立面不应设置泛光照明，公共建筑室外夜景照明对周边建筑物和本楼用户形成的光污染应符合现行行业标准《城市夜景照明设计规范》JGJ/T 163中有关光污染的限制要求。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keepNext w:val="0"/>
              <w:keepLines w:val="0"/>
              <w:pageBreakBefore w:val="0"/>
              <w:kinsoku/>
              <w:wordWrap/>
              <w:overflowPunct/>
              <w:topLinePunct w:val="0"/>
              <w:bidi w:val="0"/>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□详景观施工图：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883"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9.2.15</w:t>
            </w:r>
          </w:p>
        </w:tc>
        <w:tc>
          <w:tcPr>
            <w:tcW w:w="34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室内照明功率密度值达到现行国家标准《建筑照明设计标准》GB 50034规定的目标值，并应符合下列要求（设计分值为6分）：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主要功能房间的照明功率密度值不高于现行国家标准《建筑照明设计标准》GB 50034规定的目标值（3分）；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所有区域的照明功率密度值均不高于现行国家标准《建筑照明设计标准》GB 50034规定的目标值（6分）。</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919" w:hRule="atLeast"/>
        </w:trPr>
        <w:tc>
          <w:tcPr>
            <w:tcW w:w="502" w:type="dxa"/>
            <w:tcBorders>
              <w:top w:val="single" w:color="auto" w:sz="4" w:space="0"/>
              <w:left w:val="single" w:color="auto" w:sz="12"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9.2.16</w:t>
            </w:r>
          </w:p>
        </w:tc>
        <w:tc>
          <w:tcPr>
            <w:tcW w:w="3425"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公共建筑主要功能房间或场所照明的不舒适眩光应满足最大允许值不应超过现行国家标准《建筑照明设计标准》GB</w:t>
            </w:r>
            <w:r>
              <w:rPr>
                <w:rFonts w:hint="eastAsia" w:ascii="Times New Roman" w:hAnsi="Times New Roman" w:eastAsia="宋体" w:cs="Times New Roman"/>
                <w:i w:val="0"/>
                <w:iCs w:val="0"/>
                <w:color w:val="000000"/>
                <w:kern w:val="0"/>
                <w:sz w:val="16"/>
                <w:szCs w:val="16"/>
                <w:u w:val="non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50034的规定（设计分值</w:t>
            </w:r>
            <w:r>
              <w:rPr>
                <w:rFonts w:hint="eastAsia" w:cs="Times New Roman"/>
                <w:i w:val="0"/>
                <w:iCs w:val="0"/>
                <w:color w:val="000000"/>
                <w:kern w:val="0"/>
                <w:sz w:val="16"/>
                <w:szCs w:val="16"/>
                <w:u w:val="none"/>
                <w:lang w:val="en-US" w:eastAsia="zh-CN" w:bidi="ar"/>
              </w:rPr>
              <w:t>为</w:t>
            </w:r>
            <w:r>
              <w:rPr>
                <w:rFonts w:hint="default" w:ascii="Times New Roman" w:hAnsi="Times New Roman" w:eastAsia="宋体" w:cs="Times New Roman"/>
                <w:i w:val="0"/>
                <w:iCs w:val="0"/>
                <w:color w:val="000000"/>
                <w:kern w:val="0"/>
                <w:sz w:val="16"/>
                <w:szCs w:val="16"/>
                <w:u w:val="none"/>
                <w:lang w:val="en-US" w:eastAsia="zh-CN" w:bidi="ar"/>
              </w:rPr>
              <w:t>3分）。</w:t>
            </w:r>
          </w:p>
        </w:tc>
        <w:tc>
          <w:tcPr>
            <w:tcW w:w="441"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bottom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4" w:space="0"/>
              <w:bottom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keepNext w:val="0"/>
              <w:keepLines w:val="0"/>
              <w:pageBreakBefore w:val="0"/>
              <w:kinsoku/>
              <w:wordWrap/>
              <w:overflowPunct/>
              <w:topLinePunct w:val="0"/>
              <w:bidi w:val="0"/>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379" w:hRule="atLeast"/>
        </w:trPr>
        <w:tc>
          <w:tcPr>
            <w:tcW w:w="502" w:type="dxa"/>
            <w:tcBorders>
              <w:top w:val="single" w:color="auto" w:sz="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9.2.17</w:t>
            </w:r>
          </w:p>
        </w:tc>
        <w:tc>
          <w:tcPr>
            <w:tcW w:w="3425" w:type="dxa"/>
            <w:tcBorders>
              <w:top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变压器应选择低损耗、低噪声的节能产品，并符合下列要求（设计分值为5分）：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空载损耗值和负载损耗值均不应高于现行国家标准《电力变压器能效限定值及能效等级》GB 20052的2级的要求（3分）；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配电变压器应选用[D,yn11]结线组别的变压器（2分）。</w:t>
            </w:r>
          </w:p>
        </w:tc>
        <w:tc>
          <w:tcPr>
            <w:tcW w:w="441" w:type="dxa"/>
            <w:tcBorders>
              <w:top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2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9.2.18</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电动机应选用节能型电动机，并应根据负载的不同种类、性能采用相应的启动、调速等节能措施（设计分值为2分）。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79" w:hRule="atLeast"/>
        </w:trPr>
        <w:tc>
          <w:tcPr>
            <w:tcW w:w="502" w:type="dxa"/>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9.2.19</w:t>
            </w:r>
          </w:p>
        </w:tc>
        <w:tc>
          <w:tcPr>
            <w:tcW w:w="3425"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采用电风扇调风作为室内热环境改善的辅助措施，且符合下列要求（设计分值为2分）</w:t>
            </w:r>
            <w:r>
              <w:rPr>
                <w:rFonts w:hint="eastAsia" w:cs="Times New Roman"/>
                <w:i w:val="0"/>
                <w:iCs w:val="0"/>
                <w:color w:val="000000"/>
                <w:kern w:val="0"/>
                <w:sz w:val="16"/>
                <w:szCs w:val="16"/>
                <w:u w:val="none"/>
                <w:lang w:val="en-US" w:eastAsia="zh-CN" w:bidi="ar"/>
              </w:rPr>
              <w:t>：</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居住建筑每一套户内至少有一个主要功能房间采用了电风扇调风措施；</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公共建筑适宜风扇调风的场所中，每个建筑单体至少有一类场所采用了电风扇调风措施。</w:t>
            </w:r>
          </w:p>
        </w:tc>
        <w:tc>
          <w:tcPr>
            <w:tcW w:w="44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5"/>
        <w:gridCol w:w="441"/>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12" w:hRule="atLeast"/>
        </w:trPr>
        <w:tc>
          <w:tcPr>
            <w:tcW w:w="502" w:type="dxa"/>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9.2.20</w:t>
            </w:r>
          </w:p>
        </w:tc>
        <w:tc>
          <w:tcPr>
            <w:tcW w:w="3425"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应根据建筑的功能、归属等情况，对照明、电梯、空调、给水排水等系统的用电能耗进行分项、分区、分户的计量（设计分值为2分）。</w:t>
            </w: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1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875"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9.2.21</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住宅楼、商业服务网点、独立供电的车库及杂物间应采用一户一表计量方式，地下室照明、水泵、电梯、公共景观及消防等共用设施设备应设低压计量装置（设计分值为2分）。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65"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9.2.22</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住宅建筑应采用光纤到户方式的通信设施系统（设计分值为2分）。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483"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9.2.23</w:t>
            </w:r>
          </w:p>
        </w:tc>
        <w:tc>
          <w:tcPr>
            <w:tcW w:w="34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建筑智能化系统的配置应满足以下要求（设计分值为6分）。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住宅建筑的居住区智能化系统的配置应符合本标准附录</w:t>
            </w:r>
            <w:r>
              <w:rPr>
                <w:rFonts w:hint="eastAsia" w:ascii="Times New Roman" w:hAnsi="Times New Roman" w:eastAsia="宋体" w:cs="Times New Roman"/>
                <w:i w:val="0"/>
                <w:iCs w:val="0"/>
                <w:color w:val="000000"/>
                <w:kern w:val="0"/>
                <w:sz w:val="16"/>
                <w:szCs w:val="16"/>
                <w:u w:val="none"/>
                <w:lang w:val="en-US" w:eastAsia="zh-CN" w:bidi="ar"/>
              </w:rPr>
              <w:t>N</w:t>
            </w:r>
            <w:r>
              <w:rPr>
                <w:rFonts w:hint="default" w:ascii="Times New Roman" w:hAnsi="Times New Roman" w:eastAsia="宋体" w:cs="Times New Roman"/>
                <w:i w:val="0"/>
                <w:iCs w:val="0"/>
                <w:color w:val="000000"/>
                <w:kern w:val="0"/>
                <w:sz w:val="16"/>
                <w:szCs w:val="16"/>
                <w:u w:val="none"/>
                <w:lang w:val="en-US" w:eastAsia="zh-CN" w:bidi="ar"/>
              </w:rPr>
              <w:t>的要求。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2  公共建筑的智能化系统配置应不低于现行国家标准《智能建筑设计标准》GB 50314中所列举的各功能建筑的智能化配置要求。</w:t>
            </w:r>
          </w:p>
        </w:tc>
        <w:tc>
          <w:tcPr>
            <w:tcW w:w="441"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28" w:hRule="atLeast"/>
        </w:trPr>
        <w:tc>
          <w:tcPr>
            <w:tcW w:w="502" w:type="dxa"/>
            <w:tcBorders>
              <w:top w:val="single" w:color="auto" w:sz="4" w:space="0"/>
              <w:left w:val="single" w:color="auto" w:sz="12"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9.2.24</w:t>
            </w:r>
          </w:p>
        </w:tc>
        <w:tc>
          <w:tcPr>
            <w:tcW w:w="3425"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设置PM</w:t>
            </w:r>
            <w:r>
              <w:rPr>
                <w:rFonts w:hint="default" w:ascii="Times New Roman" w:hAnsi="Times New Roman" w:eastAsia="宋体" w:cs="Times New Roman"/>
                <w:i w:val="0"/>
                <w:iCs w:val="0"/>
                <w:color w:val="000000"/>
                <w:kern w:val="0"/>
                <w:sz w:val="16"/>
                <w:szCs w:val="16"/>
                <w:u w:val="none"/>
                <w:vertAlign w:val="subscript"/>
                <w:lang w:val="en-US" w:eastAsia="zh-CN" w:bidi="ar"/>
              </w:rPr>
              <w:t>10</w:t>
            </w:r>
            <w:r>
              <w:rPr>
                <w:rFonts w:hint="default" w:ascii="Times New Roman" w:hAnsi="Times New Roman" w:eastAsia="宋体" w:cs="Times New Roman"/>
                <w:i w:val="0"/>
                <w:iCs w:val="0"/>
                <w:color w:val="000000"/>
                <w:kern w:val="0"/>
                <w:sz w:val="16"/>
                <w:szCs w:val="16"/>
                <w:u w:val="none"/>
                <w:lang w:val="en-US" w:eastAsia="zh-CN" w:bidi="ar"/>
              </w:rPr>
              <w:t>、PM</w:t>
            </w:r>
            <w:r>
              <w:rPr>
                <w:rFonts w:hint="default" w:ascii="Times New Roman" w:hAnsi="Times New Roman" w:eastAsia="宋体" w:cs="Times New Roman"/>
                <w:i w:val="0"/>
                <w:iCs w:val="0"/>
                <w:color w:val="000000"/>
                <w:kern w:val="0"/>
                <w:sz w:val="16"/>
                <w:szCs w:val="16"/>
                <w:u w:val="none"/>
                <w:vertAlign w:val="subscript"/>
                <w:lang w:val="en-US" w:eastAsia="zh-CN" w:bidi="ar"/>
              </w:rPr>
              <w:t>2.5</w:t>
            </w:r>
            <w:r>
              <w:rPr>
                <w:rFonts w:hint="default" w:ascii="Times New Roman" w:hAnsi="Times New Roman" w:eastAsia="宋体" w:cs="Times New Roman"/>
                <w:i w:val="0"/>
                <w:iCs w:val="0"/>
                <w:color w:val="000000"/>
                <w:kern w:val="0"/>
                <w:sz w:val="16"/>
                <w:szCs w:val="16"/>
                <w:u w:val="none"/>
                <w:lang w:val="en-US" w:eastAsia="zh-CN" w:bidi="ar"/>
              </w:rPr>
              <w:t>浓度的空气质量监测系统，且应具有存储至少一年的监测数据和实时显示等功能（设计分值为4分）。</w:t>
            </w:r>
          </w:p>
        </w:tc>
        <w:tc>
          <w:tcPr>
            <w:tcW w:w="441" w:type="dxa"/>
            <w:tcBorders>
              <w:top w:val="single" w:color="auto" w:sz="4" w:space="0"/>
              <w:bottom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4" w:space="0"/>
              <w:bottom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4" w:space="0"/>
              <w:bottom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770" w:hRule="atLeast"/>
        </w:trPr>
        <w:tc>
          <w:tcPr>
            <w:tcW w:w="502" w:type="dxa"/>
            <w:tcBorders>
              <w:top w:val="single" w:color="auto" w:sz="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9.2.25</w:t>
            </w:r>
          </w:p>
        </w:tc>
        <w:tc>
          <w:tcPr>
            <w:tcW w:w="3425" w:type="dxa"/>
            <w:tcBorders>
              <w:top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公共建筑主要功能房间中人员密度较高且随时间变化大的区域，应设置与空调新风系统联动的二氧化碳监控系统（设计分值为6分）。</w:t>
            </w:r>
          </w:p>
        </w:tc>
        <w:tc>
          <w:tcPr>
            <w:tcW w:w="441" w:type="dxa"/>
            <w:tcBorders>
              <w:top w:val="single" w:color="auto" w:sz="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tcBorders>
              <w:top w:val="single" w:color="auto" w:sz="2"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top w:val="single" w:color="auto" w:sz="2"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588"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9.2.26</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设置用水远传计量系统、水质在线监测系统，并应符合下列要求（设计分值为4分）：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default" w:ascii="Times New Roman" w:hAnsi="Times New Roman" w:eastAsia="宋体" w:cs="Times New Roman"/>
                <w:i w:val="0"/>
                <w:iCs w:val="0"/>
                <w:color w:val="000000"/>
                <w:kern w:val="0"/>
                <w:sz w:val="16"/>
                <w:szCs w:val="16"/>
                <w:u w:val="none"/>
                <w:lang w:val="en-US" w:eastAsia="zh-CN" w:bidi="ar"/>
              </w:rPr>
              <w:t>1  设置用水量远传计量系统，能分类、分级记录、统计分析各种用水情况（2分）；</w:t>
            </w:r>
          </w:p>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2  </w:t>
            </w:r>
            <w:r>
              <w:rPr>
                <w:rFonts w:hint="default" w:ascii="Times New Roman" w:hAnsi="Times New Roman" w:eastAsia="宋体" w:cs="Times New Roman"/>
                <w:i w:val="0"/>
                <w:iCs w:val="0"/>
                <w:color w:val="000000"/>
                <w:spacing w:val="-4"/>
                <w:kern w:val="0"/>
                <w:sz w:val="16"/>
                <w:szCs w:val="16"/>
                <w:u w:val="none"/>
                <w:lang w:val="en-US" w:eastAsia="zh-CN" w:bidi="ar"/>
              </w:rPr>
              <w:t>设置水质在线监测系统，具备监测生活饮用水、管道直饮水、游泳池水、非传统水源、空调冷却水的水质指标</w:t>
            </w:r>
            <w:r>
              <w:rPr>
                <w:rFonts w:hint="eastAsia" w:cs="Times New Roman"/>
                <w:i w:val="0"/>
                <w:iCs w:val="0"/>
                <w:color w:val="000000"/>
                <w:spacing w:val="-4"/>
                <w:kern w:val="0"/>
                <w:sz w:val="16"/>
                <w:szCs w:val="16"/>
                <w:u w:val="none"/>
                <w:lang w:val="en-US" w:eastAsia="zh-CN" w:bidi="ar"/>
              </w:rPr>
              <w:t>，并记录和保存</w:t>
            </w:r>
            <w:r>
              <w:rPr>
                <w:rFonts w:hint="default" w:ascii="Times New Roman" w:hAnsi="Times New Roman" w:eastAsia="宋体" w:cs="Times New Roman"/>
                <w:i w:val="0"/>
                <w:iCs w:val="0"/>
                <w:color w:val="000000"/>
                <w:spacing w:val="-4"/>
                <w:kern w:val="0"/>
                <w:sz w:val="16"/>
                <w:szCs w:val="16"/>
                <w:u w:val="none"/>
                <w:lang w:val="en-US" w:eastAsia="zh-CN" w:bidi="ar"/>
              </w:rPr>
              <w:t>数据</w:t>
            </w:r>
            <w:r>
              <w:rPr>
                <w:rFonts w:hint="eastAsia" w:cs="Times New Roman"/>
                <w:i w:val="0"/>
                <w:iCs w:val="0"/>
                <w:color w:val="000000"/>
                <w:spacing w:val="-4"/>
                <w:kern w:val="0"/>
                <w:sz w:val="16"/>
                <w:szCs w:val="16"/>
                <w:u w:val="none"/>
                <w:lang w:val="en-US" w:eastAsia="zh-CN" w:bidi="ar"/>
              </w:rPr>
              <w:t>的</w:t>
            </w:r>
            <w:r>
              <w:rPr>
                <w:rFonts w:hint="default" w:ascii="Times New Roman" w:hAnsi="Times New Roman" w:eastAsia="宋体" w:cs="Times New Roman"/>
                <w:i w:val="0"/>
                <w:iCs w:val="0"/>
                <w:color w:val="000000"/>
                <w:spacing w:val="-4"/>
                <w:kern w:val="0"/>
                <w:sz w:val="16"/>
                <w:szCs w:val="16"/>
                <w:u w:val="none"/>
                <w:lang w:val="en-US" w:eastAsia="zh-CN" w:bidi="ar"/>
              </w:rPr>
              <w:t>功能（2分）。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55"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9.2.27</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合理利用可再生能源，由可再生能源提供的电量比例应符合表9.2.27的要求（设计分值为</w:t>
            </w:r>
            <w:r>
              <w:rPr>
                <w:rFonts w:hint="eastAsia" w:cs="Times New Roman"/>
                <w:i w:val="0"/>
                <w:iCs w:val="0"/>
                <w:color w:val="000000"/>
                <w:kern w:val="0"/>
                <w:sz w:val="16"/>
                <w:szCs w:val="16"/>
                <w:u w:val="none"/>
                <w:lang w:val="en-US" w:eastAsia="zh-CN" w:bidi="ar"/>
              </w:rPr>
              <w:t>9</w:t>
            </w:r>
            <w:r>
              <w:rPr>
                <w:rFonts w:hint="default" w:ascii="Times New Roman" w:hAnsi="Times New Roman" w:eastAsia="宋体" w:cs="Times New Roman"/>
                <w:i w:val="0"/>
                <w:iCs w:val="0"/>
                <w:color w:val="000000"/>
                <w:kern w:val="0"/>
                <w:sz w:val="16"/>
                <w:szCs w:val="16"/>
                <w:u w:val="none"/>
                <w:lang w:val="en-US" w:eastAsia="zh-CN" w:bidi="ar"/>
              </w:rPr>
              <w:t>分）。</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303" w:type="dxa"/>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□可再生能源利用率分析报告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90" w:hRule="atLeast"/>
        </w:trPr>
        <w:tc>
          <w:tcPr>
            <w:tcW w:w="3927"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val="0"/>
              <w:spacing w:line="240" w:lineRule="auto"/>
              <w:jc w:val="center"/>
              <w:textAlignment w:val="auto"/>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星级设计要求实际得分 </w:t>
            </w:r>
            <w:r>
              <w:rPr>
                <w:rFonts w:ascii="Times New Roman" w:hAnsi="Times New Roman" w:eastAsia="宋体" w:cs="Times New Roman"/>
                <w:bCs/>
                <w:color w:val="auto"/>
                <w:position w:val="-12"/>
              </w:rPr>
              <w:object>
                <v:shape id="_x0000_i1060" o:spt="75" type="#_x0000_t75" style="height:14.15pt;width:11.8pt;" o:ole="t" filled="f" o:preferrelative="t" stroked="f" coordsize="21600,21600">
                  <v:path/>
                  <v:fill on="f" focussize="0,0"/>
                  <v:stroke on="f"/>
                  <v:imagedata r:id="rId12" o:title=""/>
                  <o:lock v:ext="edit" aspectratio="t"/>
                  <w10:wrap type="none"/>
                  <w10:anchorlock/>
                </v:shape>
                <o:OLEObject Type="Embed" ProgID="Equation.KSEE3" ShapeID="_x0000_i1060" DrawAspect="Content" ObjectID="_1468075760" r:id="rId54">
                  <o:LockedField>false</o:LockedField>
                </o:OLEObject>
              </w:objec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3" w:type="dxa"/>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15" w:hRule="atLeast"/>
        </w:trPr>
        <w:tc>
          <w:tcPr>
            <w:tcW w:w="3927"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星级设计要求的不适用分值 </w:t>
            </w:r>
            <w:r>
              <w:rPr>
                <w:rFonts w:hint="default" w:ascii="Times New Roman" w:hAnsi="Times New Roman" w:eastAsia="宋体" w:cs="Times New Roman"/>
                <w:i w:val="0"/>
                <w:iCs w:val="0"/>
                <w:color w:val="000000"/>
                <w:kern w:val="0"/>
                <w:sz w:val="16"/>
                <w:szCs w:val="16"/>
                <w:u w:val="none"/>
                <w:lang w:val="en-US" w:eastAsia="zh-CN" w:bidi="ar"/>
              </w:rPr>
              <w:object>
                <v:shape id="_x0000_i1061" o:spt="75" type="#_x0000_t75" style="height:14.95pt;width:13.9pt;" o:ole="t" filled="f" o:preferrelative="t" stroked="f" coordsize="21600,21600">
                  <v:path/>
                  <v:fill on="f" focussize="0,0"/>
                  <v:stroke on="f"/>
                  <v:imagedata r:id="rId14" o:title=""/>
                  <o:lock v:ext="edit" aspectratio="t"/>
                  <w10:wrap type="none"/>
                  <w10:anchorlock/>
                </v:shape>
                <o:OLEObject Type="Embed" ProgID="Equation.KSEE3" ShapeID="_x0000_i1061" DrawAspect="Content" ObjectID="_1468075761" r:id="rId55">
                  <o:LockedField>false</o:LockedField>
                </o:OLEObject>
              </w:object>
            </w:r>
          </w:p>
        </w:tc>
        <w:tc>
          <w:tcPr>
            <w:tcW w:w="441" w:type="dxa"/>
            <w:tcBorders>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441" w:type="dxa"/>
            <w:tcBorders>
              <w:bottom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303" w:type="dxa"/>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bl>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黑体" w:cs="黑体"/>
          <w:b w:val="0"/>
          <w:bCs w:val="0"/>
          <w:color w:val="auto"/>
          <w:sz w:val="18"/>
          <w:szCs w:val="18"/>
          <w:lang w:val="en-US" w:eastAsia="zh-CN"/>
        </w:rPr>
      </w:pPr>
      <w:r>
        <w:rPr>
          <w:rFonts w:hint="eastAsia" w:eastAsia="黑体" w:cs="黑体"/>
          <w:b w:val="0"/>
          <w:bCs w:val="0"/>
          <w:color w:val="auto"/>
          <w:sz w:val="18"/>
          <w:szCs w:val="18"/>
          <w:lang w:val="en-US" w:eastAsia="zh-CN"/>
        </w:rPr>
        <w:t>续</w:t>
      </w:r>
      <w:r>
        <w:rPr>
          <w:rFonts w:hint="default" w:eastAsia="黑体" w:cs="黑体"/>
          <w:b w:val="0"/>
          <w:bCs w:val="0"/>
          <w:color w:val="auto"/>
          <w:sz w:val="18"/>
          <w:szCs w:val="18"/>
          <w:lang w:val="en-US" w:eastAsia="zh-CN"/>
        </w:rPr>
        <w:t>表C-</w:t>
      </w:r>
      <w:r>
        <w:rPr>
          <w:rFonts w:hint="eastAsia" w:eastAsia="黑体" w:cs="黑体"/>
          <w:b w:val="0"/>
          <w:bCs w:val="0"/>
          <w:color w:val="auto"/>
          <w:sz w:val="18"/>
          <w:szCs w:val="18"/>
          <w:lang w:val="en-US" w:eastAsia="zh-CN"/>
        </w:rPr>
        <w:t>7</w:t>
      </w:r>
    </w:p>
    <w:tbl>
      <w:tblPr>
        <w:tblStyle w:val="34"/>
        <w:tblW w:w="611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1" w:type="dxa"/>
          <w:bottom w:w="0" w:type="dxa"/>
          <w:right w:w="51" w:type="dxa"/>
        </w:tblCellMar>
      </w:tblPr>
      <w:tblGrid>
        <w:gridCol w:w="502"/>
        <w:gridCol w:w="3425"/>
        <w:gridCol w:w="441"/>
        <w:gridCol w:w="441"/>
        <w:gridCol w:w="130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927" w:type="dxa"/>
            <w:gridSpan w:val="2"/>
            <w:tcBorders>
              <w:top w:val="single" w:color="auto" w:sz="12"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星级设计要求折算得分 </w:t>
            </w:r>
            <w:r>
              <w:rPr>
                <w:rFonts w:hint="default" w:ascii="Times New Roman" w:hAnsi="Times New Roman" w:eastAsia="宋体" w:cs="Times New Roman"/>
                <w:i w:val="0"/>
                <w:iCs w:val="0"/>
                <w:color w:val="000000"/>
                <w:kern w:val="0"/>
                <w:sz w:val="16"/>
                <w:szCs w:val="16"/>
                <w:u w:val="none"/>
                <w:lang w:val="en-US" w:eastAsia="zh-CN" w:bidi="ar"/>
              </w:rPr>
              <w:object>
                <v:shape id="_x0000_i1062" o:spt="75" type="#_x0000_t75" style="height:25.5pt;width:33.5pt;" o:ole="t" filled="f" o:preferrelative="t" stroked="f" coordsize="21600,21600">
                  <v:path/>
                  <v:fill on="f" focussize="0,0"/>
                  <v:stroke on="f"/>
                  <v:imagedata r:id="rId16" o:title=""/>
                  <o:lock v:ext="edit" aspectratio="t"/>
                  <w10:wrap type="none"/>
                  <w10:anchorlock/>
                </v:shape>
                <o:OLEObject Type="Embed" ProgID="Equation.KSEE3" ShapeID="_x0000_i1062" DrawAspect="Content" ObjectID="_1468075762" r:id="rId56">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63" o:spt="75" type="#_x0000_t75" style="height:15.9pt;width:17.9pt;" o:ole="t" filled="f" o:preferrelative="t" stroked="f" coordsize="21600,21600">
                  <v:path/>
                  <v:fill on="f" focussize="0,0"/>
                  <v:stroke on="f"/>
                  <v:imagedata r:id="rId18" o:title=""/>
                  <o:lock v:ext="edit" aspectratio="t"/>
                  <w10:wrap type="none"/>
                  <w10:anchorlock/>
                </v:shape>
                <o:OLEObject Type="Embed" ProgID="Equation.KSEE3" ShapeID="_x0000_i1063" DrawAspect="Content" ObjectID="_1468075763" r:id="rId57">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w:t>
            </w:r>
            <w:r>
              <w:rPr>
                <w:rFonts w:hint="eastAsia" w:ascii="Times New Roman" w:hAnsi="Times New Roman" w:eastAsia="宋体" w:cs="Times New Roman"/>
                <w:i w:val="0"/>
                <w:iCs w:val="0"/>
                <w:color w:val="000000"/>
                <w:kern w:val="0"/>
                <w:sz w:val="16"/>
                <w:szCs w:val="16"/>
                <w:u w:val="none"/>
                <w:lang w:val="en-US" w:eastAsia="zh-CN" w:bidi="ar"/>
              </w:rPr>
              <w:t>83</w:t>
            </w:r>
            <w:r>
              <w:rPr>
                <w:rFonts w:hint="default" w:ascii="Times New Roman" w:hAnsi="Times New Roman" w:cs="Times New Roman"/>
                <w:i w:val="0"/>
                <w:lang w:val="en-US" w:eastAsia="zh-CN"/>
              </w:rPr>
              <w:t>）</w:t>
            </w:r>
          </w:p>
        </w:tc>
        <w:tc>
          <w:tcPr>
            <w:tcW w:w="441" w:type="dxa"/>
            <w:tcBorders>
              <w:top w:val="single" w:color="auto" w:sz="12"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441" w:type="dxa"/>
            <w:tcBorders>
              <w:top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c>
          <w:tcPr>
            <w:tcW w:w="1303" w:type="dxa"/>
            <w:tcBorders>
              <w:top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6112" w:type="dxa"/>
            <w:gridSpan w:val="5"/>
            <w:tcBorders>
              <w:left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提高与创新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80"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条文</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编号</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技术要求</w:t>
            </w:r>
          </w:p>
        </w:tc>
        <w:tc>
          <w:tcPr>
            <w:tcW w:w="441"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自评</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得分</w:t>
            </w:r>
          </w:p>
        </w:tc>
        <w:tc>
          <w:tcPr>
            <w:tcW w:w="1744"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kern w:val="0"/>
                <w:sz w:val="16"/>
                <w:szCs w:val="16"/>
                <w:u w:val="none"/>
                <w:lang w:val="en-US" w:eastAsia="zh-CN" w:bidi="ar"/>
              </w:rPr>
            </w:pPr>
            <w:r>
              <w:rPr>
                <w:rFonts w:hint="default" w:ascii="Times New Roman" w:hAnsi="Times New Roman" w:eastAsia="宋体" w:cs="Times New Roman"/>
                <w:b/>
                <w:bCs/>
                <w:i w:val="0"/>
                <w:iCs w:val="0"/>
                <w:color w:val="000000"/>
                <w:kern w:val="0"/>
                <w:sz w:val="16"/>
                <w:szCs w:val="16"/>
                <w:u w:val="none"/>
                <w:lang w:val="en-US" w:eastAsia="zh-CN" w:bidi="ar"/>
              </w:rPr>
              <w:t>设计措施及</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b/>
                <w:bCs/>
                <w:i w:val="0"/>
                <w:iCs w:val="0"/>
                <w:color w:val="000000"/>
                <w:sz w:val="16"/>
                <w:szCs w:val="16"/>
                <w:u w:val="none"/>
              </w:rPr>
            </w:pPr>
            <w:r>
              <w:rPr>
                <w:rFonts w:hint="default" w:ascii="Times New Roman" w:hAnsi="Times New Roman" w:eastAsia="宋体" w:cs="Times New Roman"/>
                <w:b/>
                <w:bCs/>
                <w:i w:val="0"/>
                <w:iCs w:val="0"/>
                <w:color w:val="000000"/>
                <w:kern w:val="0"/>
                <w:sz w:val="16"/>
                <w:szCs w:val="16"/>
                <w:u w:val="none"/>
                <w:lang w:val="en-US" w:eastAsia="zh-CN" w:bidi="ar"/>
              </w:rPr>
              <w:t>送审材料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081" w:hRule="atLeast"/>
        </w:trPr>
        <w:tc>
          <w:tcPr>
            <w:tcW w:w="502" w:type="dxa"/>
            <w:tcBorders>
              <w:left w:val="single" w:color="auto" w:sz="12" w:space="0"/>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9.3.1</w:t>
            </w:r>
          </w:p>
        </w:tc>
        <w:tc>
          <w:tcPr>
            <w:tcW w:w="3425" w:type="dxa"/>
            <w:tcBorders>
              <w:bottom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合理利用可再生能源，由可再生能源提供的电量比例大于4%，得1分；每再增加1%，再得</w:t>
            </w:r>
            <w:r>
              <w:rPr>
                <w:rFonts w:hint="eastAsia" w:cs="Times New Roman"/>
                <w:i w:val="0"/>
                <w:iCs w:val="0"/>
                <w:color w:val="000000"/>
                <w:kern w:val="0"/>
                <w:sz w:val="16"/>
                <w:szCs w:val="16"/>
                <w:u w:val="none"/>
                <w:lang w:val="en-US" w:eastAsia="zh-CN" w:bidi="ar"/>
              </w:rPr>
              <w:t>1</w:t>
            </w:r>
            <w:r>
              <w:rPr>
                <w:rFonts w:hint="default" w:ascii="Times New Roman" w:hAnsi="Times New Roman" w:eastAsia="宋体" w:cs="Times New Roman"/>
                <w:i w:val="0"/>
                <w:iCs w:val="0"/>
                <w:color w:val="000000"/>
                <w:kern w:val="0"/>
                <w:sz w:val="16"/>
                <w:szCs w:val="16"/>
                <w:u w:val="none"/>
                <w:lang w:val="en-US" w:eastAsia="zh-CN" w:bidi="ar"/>
              </w:rPr>
              <w:t>分，最高得3分（设计分值为3分）。</w:t>
            </w:r>
          </w:p>
        </w:tc>
        <w:tc>
          <w:tcPr>
            <w:tcW w:w="441" w:type="dxa"/>
            <w:tcBorders>
              <w:bottom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44" w:type="dxa"/>
            <w:gridSpan w:val="2"/>
            <w:tcBorders>
              <w:bottom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color w:val="auto"/>
                <w:kern w:val="0"/>
                <w:sz w:val="16"/>
                <w:szCs w:val="16"/>
              </w:rPr>
              <w:t>□可再生能源利用率分析报告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1265" w:hRule="atLeast"/>
        </w:trPr>
        <w:tc>
          <w:tcPr>
            <w:tcW w:w="502" w:type="dxa"/>
            <w:tcBorders>
              <w:top w:val="single" w:color="auto" w:sz="4" w:space="0"/>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9.3.2</w:t>
            </w:r>
          </w:p>
        </w:tc>
        <w:tc>
          <w:tcPr>
            <w:tcW w:w="3425" w:type="dxa"/>
            <w:tcBorders>
              <w:top w:val="single" w:color="auto" w:sz="4"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当采用建筑集成光伏发电系统时，</w:t>
            </w:r>
            <w:r>
              <w:rPr>
                <w:rFonts w:hint="eastAsia" w:cs="Times New Roman"/>
                <w:i w:val="0"/>
                <w:iCs w:val="0"/>
                <w:color w:val="000000"/>
                <w:kern w:val="0"/>
                <w:sz w:val="16"/>
                <w:szCs w:val="16"/>
                <w:u w:val="none"/>
                <w:lang w:val="en-US" w:eastAsia="zh-CN" w:bidi="ar"/>
              </w:rPr>
              <w:t>其</w:t>
            </w:r>
            <w:r>
              <w:rPr>
                <w:rFonts w:hint="default" w:ascii="Times New Roman" w:hAnsi="Times New Roman" w:eastAsia="宋体" w:cs="Times New Roman"/>
                <w:i w:val="0"/>
                <w:iCs w:val="0"/>
                <w:color w:val="000000"/>
                <w:kern w:val="0"/>
                <w:sz w:val="16"/>
                <w:szCs w:val="16"/>
                <w:u w:val="none"/>
                <w:lang w:val="en-US" w:eastAsia="zh-CN" w:bidi="ar"/>
              </w:rPr>
              <w:t>提供的电量比例应符合表9.3.2的要求（设计分值为3分）。</w:t>
            </w:r>
          </w:p>
        </w:tc>
        <w:tc>
          <w:tcPr>
            <w:tcW w:w="441" w:type="dxa"/>
            <w:tcBorders>
              <w:top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44" w:type="dxa"/>
            <w:gridSpan w:val="2"/>
            <w:tcBorders>
              <w:top w:val="single" w:color="auto" w:sz="4" w:space="0"/>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jc w:val="both"/>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color w:val="auto"/>
                <w:kern w:val="0"/>
                <w:sz w:val="16"/>
                <w:szCs w:val="16"/>
                <w:lang w:val="en-US" w:eastAsia="zh-CN"/>
              </w:rPr>
              <w:t>建筑</w:t>
            </w:r>
            <w:r>
              <w:rPr>
                <w:rFonts w:hint="default" w:ascii="Times New Roman" w:hAnsi="Times New Roman" w:eastAsia="宋体" w:cs="Times New Roman"/>
                <w:i w:val="0"/>
                <w:iCs w:val="0"/>
                <w:color w:val="000000"/>
                <w:kern w:val="0"/>
                <w:sz w:val="16"/>
                <w:szCs w:val="16"/>
                <w:u w:val="none"/>
                <w:lang w:val="en-US" w:eastAsia="zh-CN" w:bidi="ar"/>
              </w:rPr>
              <w:t>集成光伏发电系统</w:t>
            </w:r>
            <w:r>
              <w:rPr>
                <w:rFonts w:hint="eastAsia" w:ascii="Times New Roman" w:hAnsi="Times New Roman" w:eastAsia="宋体" w:cs="Times New Roman"/>
                <w:i w:val="0"/>
                <w:iCs w:val="0"/>
                <w:color w:val="000000"/>
                <w:kern w:val="0"/>
                <w:sz w:val="16"/>
                <w:szCs w:val="16"/>
                <w:u w:val="none"/>
                <w:lang w:val="en-US" w:eastAsia="zh-CN" w:bidi="ar"/>
              </w:rPr>
              <w:t>提供电量比例计算报告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93"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9.3.3</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电气设计宜采用建筑信息模型（BIM）技术（设计分值为1分）。</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44" w:type="dxa"/>
            <w:gridSpan w:val="2"/>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default" w:ascii="Times New Roman" w:hAnsi="Times New Roman" w:cs="Times New Roman"/>
                <w:color w:val="auto"/>
                <w:kern w:val="0"/>
                <w:sz w:val="16"/>
                <w:szCs w:val="16"/>
              </w:rPr>
              <w:t>BIM</w:t>
            </w:r>
            <w:r>
              <w:rPr>
                <w:rFonts w:hint="eastAsia"/>
                <w:color w:val="auto"/>
                <w:kern w:val="0"/>
                <w:sz w:val="16"/>
                <w:szCs w:val="16"/>
              </w:rPr>
              <w:t>技术应用报告</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647" w:hRule="atLeast"/>
        </w:trPr>
        <w:tc>
          <w:tcPr>
            <w:tcW w:w="502" w:type="dxa"/>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9.3.4</w:t>
            </w:r>
          </w:p>
        </w:tc>
        <w:tc>
          <w:tcPr>
            <w:tcW w:w="3425" w:type="dxa"/>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both"/>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单台容量在200kW及以上的电动机应采用10kV中压供电（设计分值为1分）。</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00" w:lineRule="exact"/>
              <w:jc w:val="center"/>
              <w:rPr>
                <w:rFonts w:hint="default" w:ascii="Times New Roman" w:hAnsi="Times New Roman" w:eastAsia="宋体" w:cs="Times New Roman"/>
                <w:i w:val="0"/>
                <w:iCs w:val="0"/>
                <w:color w:val="000000"/>
                <w:sz w:val="16"/>
                <w:szCs w:val="16"/>
                <w:u w:val="none"/>
              </w:rPr>
            </w:pPr>
          </w:p>
        </w:tc>
        <w:tc>
          <w:tcPr>
            <w:tcW w:w="1744" w:type="dxa"/>
            <w:gridSpan w:val="2"/>
            <w:tcBorders>
              <w:right w:val="single" w:color="auto" w:sz="12" w:space="0"/>
            </w:tcBorders>
            <w:vAlign w:val="center"/>
          </w:tcPr>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u w:val="none"/>
                <w:lang w:val="en-US" w:eastAsia="zh-CN"/>
              </w:rPr>
              <w:t>送审材料：</w:t>
            </w:r>
          </w:p>
          <w:p>
            <w:pPr>
              <w:pStyle w:val="41"/>
              <w:keepNext w:val="0"/>
              <w:keepLines w:val="0"/>
              <w:pageBreakBefore w:val="0"/>
              <w:kinsoku/>
              <w:wordWrap/>
              <w:overflowPunct/>
              <w:topLinePunct w:val="0"/>
              <w:bidi w:val="0"/>
              <w:snapToGrid/>
              <w:spacing w:line="200" w:lineRule="exact"/>
              <w:rPr>
                <w:rFonts w:hint="eastAsia" w:ascii="Times New Roman" w:hAnsi="Times New Roman" w:eastAsia="宋体" w:cs="Times New Roman"/>
                <w:i w:val="0"/>
                <w:iCs w:val="0"/>
                <w:color w:val="000000"/>
                <w:sz w:val="16"/>
                <w:szCs w:val="16"/>
                <w:u w:val="none"/>
                <w:lang w:val="en-US" w:eastAsia="zh-CN"/>
              </w:rPr>
            </w:pPr>
            <w:r>
              <w:rPr>
                <w:rFonts w:hint="eastAsia" w:ascii="Times New Roman" w:hAnsi="Times New Roman" w:eastAsia="宋体" w:cs="Times New Roman"/>
                <w:i w:val="0"/>
                <w:iCs w:val="0"/>
                <w:color w:val="000000"/>
                <w:sz w:val="16"/>
                <w:szCs w:val="16"/>
                <w:highlight w:val="none"/>
                <w:u w:val="none"/>
                <w:lang w:val="en-US" w:eastAsia="zh-CN"/>
              </w:rPr>
              <w:t>□</w:t>
            </w:r>
            <w:r>
              <w:rPr>
                <w:rFonts w:hint="eastAsia" w:ascii="Times New Roman" w:hAnsi="Times New Roman" w:eastAsia="宋体" w:cs="Times New Roman"/>
                <w:i w:val="0"/>
                <w:iCs w:val="0"/>
                <w:color w:val="000000"/>
                <w:sz w:val="16"/>
                <w:szCs w:val="16"/>
                <w:u w:val="none"/>
                <w:lang w:val="en-US" w:eastAsia="zh-CN"/>
              </w:rPr>
              <w:t>详电气施工图：</w:t>
            </w:r>
          </w:p>
          <w:p>
            <w:pPr>
              <w:pStyle w:val="41"/>
              <w:keepNext w:val="0"/>
              <w:keepLines w:val="0"/>
              <w:pageBreakBefore w:val="0"/>
              <w:kinsoku/>
              <w:wordWrap/>
              <w:overflowPunct/>
              <w:topLinePunct w:val="0"/>
              <w:bidi w:val="0"/>
              <w:snapToGrid/>
              <w:spacing w:line="200" w:lineRule="exact"/>
              <w:rPr>
                <w:rFonts w:hint="default" w:ascii="Times New Roman" w:hAnsi="Times New Roman" w:eastAsia="宋体" w:cs="Times New Roman"/>
                <w:i w:val="0"/>
                <w:iCs w:val="0"/>
                <w:color w:val="000000"/>
                <w:sz w:val="16"/>
                <w:szCs w:val="16"/>
                <w:u w:val="none"/>
                <w:lang w:val="en-US" w:eastAsia="zh-CN" w:bidi="ar-SA"/>
              </w:rPr>
            </w:pPr>
            <w:r>
              <w:rPr>
                <w:rFonts w:hint="eastAsia" w:ascii="Times New Roman" w:hAnsi="Times New Roman" w:eastAsia="宋体" w:cs="Times New Roman"/>
                <w:i w:val="0"/>
                <w:iCs w:val="0"/>
                <w:color w:val="000000"/>
                <w:sz w:val="16"/>
                <w:szCs w:val="16"/>
                <w:u w:val="none"/>
                <w:lang w:val="en-US" w:eastAsia="zh-CN"/>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927"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提高与创新得分 </w:t>
            </w:r>
            <w:r>
              <w:rPr>
                <w:rFonts w:hint="default" w:ascii="Times New Roman" w:hAnsi="Times New Roman" w:eastAsia="宋体" w:cs="Times New Roman"/>
                <w:i w:val="0"/>
                <w:iCs w:val="0"/>
                <w:color w:val="000000"/>
                <w:kern w:val="0"/>
                <w:sz w:val="16"/>
                <w:szCs w:val="16"/>
                <w:u w:val="none"/>
                <w:lang w:val="en-US" w:eastAsia="zh-CN" w:bidi="ar"/>
              </w:rPr>
              <w:object>
                <v:shape id="_x0000_i1064" o:spt="75" type="#_x0000_t75" style="height:14.15pt;width:14.2pt;" o:ole="t" filled="f" o:preferrelative="t" stroked="f" coordsize="21600,21600">
                  <v:path/>
                  <v:fill on="f" focussize="0,0"/>
                  <v:stroke on="f"/>
                  <v:imagedata r:id="rId20" o:title=""/>
                  <o:lock v:ext="edit" aspectratio="t"/>
                  <w10:wrap type="none"/>
                  <w10:anchorlock/>
                </v:shape>
                <o:OLEObject Type="Embed" ProgID="Equation.KSEE3" ShapeID="_x0000_i1064" DrawAspect="Content" ObjectID="_1468075764" r:id="rId58">
                  <o:LockedField>false</o:LockedField>
                </o:OLEObject>
              </w:objec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744"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400" w:hRule="atLeast"/>
        </w:trPr>
        <w:tc>
          <w:tcPr>
            <w:tcW w:w="3927" w:type="dxa"/>
            <w:gridSpan w:val="2"/>
            <w:tcBorders>
              <w:lef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 xml:space="preserve">绿色建筑设计得分 </w:t>
            </w:r>
            <w:r>
              <w:rPr>
                <w:rFonts w:hint="default" w:ascii="Times New Roman" w:hAnsi="Times New Roman" w:eastAsia="宋体" w:cs="Times New Roman"/>
                <w:i w:val="0"/>
                <w:iCs w:val="0"/>
                <w:color w:val="000000"/>
                <w:kern w:val="0"/>
                <w:sz w:val="16"/>
                <w:szCs w:val="16"/>
                <w:u w:val="none"/>
                <w:lang w:val="en-US" w:eastAsia="zh-CN" w:bidi="ar"/>
              </w:rPr>
              <w:object>
                <v:shape id="_x0000_i1065" o:spt="75" type="#_x0000_t75" style="height:23.75pt;width:79.35pt;" o:ole="t" filled="f" o:preferrelative="t" stroked="f" coordsize="21600,21600">
                  <v:path/>
                  <v:fill on="f" focussize="0,0"/>
                  <v:stroke on="f"/>
                  <v:imagedata r:id="rId22" o:title=""/>
                  <o:lock v:ext="edit" aspectratio="t"/>
                  <w10:wrap type="none"/>
                  <w10:anchorlock/>
                </v:shape>
                <o:OLEObject Type="Embed" ProgID="Equation.KSEE3" ShapeID="_x0000_i1065" DrawAspect="Content" ObjectID="_1468075765" r:id="rId59">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object>
                <v:shape id="_x0000_i1066" o:spt="75" type="#_x0000_t75" style="height:14.15pt;width:11.85pt;" o:ole="t" filled="f" o:preferrelative="t" stroked="f" coordsize="21600,21600">
                  <v:path/>
                  <v:fill on="f" focussize="0,0"/>
                  <v:stroke on="f"/>
                  <v:imagedata r:id="rId24" o:title=""/>
                  <o:lock v:ext="edit" aspectratio="t"/>
                  <w10:wrap type="none"/>
                  <w10:anchorlock/>
                </v:shape>
                <o:OLEObject Type="Embed" ProgID="Equation.KSEE3" ShapeID="_x0000_i1066" DrawAspect="Content" ObjectID="_1468075766" r:id="rId60">
                  <o:LockedField>false</o:LockedField>
                </o:OLEObject>
              </w:object>
            </w:r>
            <w:r>
              <w:rPr>
                <w:rFonts w:hint="default" w:ascii="Times New Roman" w:hAnsi="Times New Roman" w:eastAsia="宋体" w:cs="Times New Roman"/>
                <w:i w:val="0"/>
                <w:iCs w:val="0"/>
                <w:color w:val="000000"/>
                <w:kern w:val="0"/>
                <w:sz w:val="16"/>
                <w:szCs w:val="16"/>
                <w:u w:val="none"/>
                <w:lang w:val="en-US" w:eastAsia="zh-CN" w:bidi="ar"/>
              </w:rPr>
              <w:t>取40）</w:t>
            </w:r>
          </w:p>
        </w:tc>
        <w:tc>
          <w:tcPr>
            <w:tcW w:w="441" w:type="dxa"/>
            <w:vAlign w:val="center"/>
          </w:tcPr>
          <w:p>
            <w:pPr>
              <w:keepNext w:val="0"/>
              <w:keepLines w:val="0"/>
              <w:pageBreakBefore w:val="0"/>
              <w:widowControl/>
              <w:kinsoku/>
              <w:wordWrap/>
              <w:overflowPunct/>
              <w:topLinePunct w:val="0"/>
              <w:autoSpaceDE/>
              <w:autoSpaceDN/>
              <w:bidi w:val="0"/>
              <w:adjustRightInd/>
              <w:snapToGrid/>
              <w:spacing w:line="240" w:lineRule="auto"/>
              <w:jc w:val="center"/>
              <w:rPr>
                <w:rFonts w:hint="default" w:ascii="Times New Roman" w:hAnsi="Times New Roman" w:eastAsia="宋体" w:cs="Times New Roman"/>
                <w:i w:val="0"/>
                <w:iCs w:val="0"/>
                <w:color w:val="000000"/>
                <w:sz w:val="16"/>
                <w:szCs w:val="16"/>
                <w:u w:val="none"/>
              </w:rPr>
            </w:pPr>
          </w:p>
        </w:tc>
        <w:tc>
          <w:tcPr>
            <w:tcW w:w="1744" w:type="dxa"/>
            <w:gridSpan w:val="2"/>
            <w:tcBorders>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1" w:type="dxa"/>
            <w:bottom w:w="0" w:type="dxa"/>
            <w:right w:w="51" w:type="dxa"/>
          </w:tblCellMar>
        </w:tblPrEx>
        <w:trPr>
          <w:trHeight w:val="555" w:hRule="atLeast"/>
        </w:trPr>
        <w:tc>
          <w:tcPr>
            <w:tcW w:w="3927" w:type="dxa"/>
            <w:gridSpan w:val="2"/>
            <w:tcBorders>
              <w:left w:val="single" w:color="auto" w:sz="12" w:space="0"/>
              <w:bottom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default" w:ascii="Times New Roman" w:hAnsi="Times New Roman" w:eastAsia="宋体" w:cs="Times New Roman"/>
                <w:i w:val="0"/>
                <w:iCs w:val="0"/>
                <w:color w:val="000000"/>
                <w:kern w:val="0"/>
                <w:sz w:val="16"/>
                <w:szCs w:val="16"/>
                <w:u w:val="none"/>
                <w:lang w:val="en-US" w:eastAsia="zh-CN" w:bidi="ar"/>
              </w:rPr>
              <w:t>结论</w:t>
            </w:r>
          </w:p>
        </w:tc>
        <w:tc>
          <w:tcPr>
            <w:tcW w:w="2185" w:type="dxa"/>
            <w:gridSpan w:val="3"/>
            <w:tcBorders>
              <w:bottom w:val="single" w:color="auto" w:sz="12" w:space="0"/>
              <w:right w:val="single" w:color="auto" w:sz="12" w:space="0"/>
            </w:tcBorders>
            <w:vAlign w:val="center"/>
          </w:tcPr>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kern w:val="0"/>
                <w:sz w:val="16"/>
                <w:szCs w:val="16"/>
                <w:u w:val="none"/>
                <w:lang w:val="en-US" w:eastAsia="zh-CN" w:bidi="ar"/>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符合基本级要求</w:t>
            </w:r>
          </w:p>
          <w:p>
            <w:pPr>
              <w:keepNext w:val="0"/>
              <w:keepLines w:val="0"/>
              <w:pageBreakBefore w:val="0"/>
              <w:widowControl/>
              <w:suppressLineNumbers w:val="0"/>
              <w:kinsoku/>
              <w:wordWrap/>
              <w:overflowPunct/>
              <w:topLinePunct w:val="0"/>
              <w:autoSpaceDE/>
              <w:autoSpaceDN/>
              <w:bidi w:val="0"/>
              <w:adjustRightInd/>
              <w:snapToGrid/>
              <w:spacing w:line="200" w:lineRule="exact"/>
              <w:jc w:val="center"/>
              <w:textAlignment w:val="center"/>
              <w:rPr>
                <w:rFonts w:hint="default" w:ascii="Times New Roman" w:hAnsi="Times New Roman" w:eastAsia="宋体" w:cs="Times New Roman"/>
                <w:i w:val="0"/>
                <w:iCs w:val="0"/>
                <w:color w:val="000000"/>
                <w:sz w:val="16"/>
                <w:szCs w:val="16"/>
                <w:u w:val="none"/>
              </w:rPr>
            </w:pPr>
            <w:r>
              <w:rPr>
                <w:rFonts w:hint="eastAsia" w:ascii="Times New Roman" w:hAnsi="Times New Roman" w:eastAsia="宋体" w:cs="Times New Roman"/>
                <w:i w:val="0"/>
                <w:iCs w:val="0"/>
                <w:color w:val="000000"/>
                <w:kern w:val="0"/>
                <w:sz w:val="16"/>
                <w:szCs w:val="16"/>
                <w:u w:val="none"/>
                <w:lang w:val="en-US" w:eastAsia="zh-CN" w:bidi="ar"/>
              </w:rPr>
              <w:t>□</w:t>
            </w:r>
            <w:r>
              <w:rPr>
                <w:rFonts w:hint="default" w:ascii="Times New Roman" w:hAnsi="Times New Roman" w:eastAsia="宋体" w:cs="Times New Roman"/>
                <w:i w:val="0"/>
                <w:iCs w:val="0"/>
                <w:color w:val="000000"/>
                <w:kern w:val="0"/>
                <w:sz w:val="16"/>
                <w:szCs w:val="16"/>
                <w:u w:val="none"/>
                <w:lang w:val="en-US" w:eastAsia="zh-CN" w:bidi="ar"/>
              </w:rPr>
              <w:t>符合</w:t>
            </w:r>
            <w:r>
              <w:rPr>
                <w:rFonts w:hint="eastAsia" w:ascii="Times New Roman" w:hAnsi="Times New Roman" w:eastAsia="宋体" w:cs="Times New Roman"/>
                <w:i w:val="0"/>
                <w:iCs w:val="0"/>
                <w:color w:val="000000"/>
                <w:kern w:val="0"/>
                <w:sz w:val="16"/>
                <w:szCs w:val="16"/>
                <w:u w:val="single"/>
                <w:lang w:val="en-US" w:eastAsia="zh-CN" w:bidi="ar"/>
              </w:rPr>
              <w:t xml:space="preserve">    </w:t>
            </w:r>
            <w:r>
              <w:rPr>
                <w:rFonts w:hint="default" w:ascii="Times New Roman" w:hAnsi="Times New Roman" w:eastAsia="宋体" w:cs="Times New Roman"/>
                <w:i w:val="0"/>
                <w:iCs w:val="0"/>
                <w:color w:val="000000"/>
                <w:kern w:val="0"/>
                <w:sz w:val="16"/>
                <w:szCs w:val="16"/>
                <w:u w:val="none"/>
                <w:lang w:val="en-US" w:eastAsia="zh-CN" w:bidi="ar"/>
              </w:rPr>
              <w:t>星级要求</w:t>
            </w:r>
          </w:p>
        </w:tc>
      </w:tr>
    </w:tbl>
    <w:p>
      <w:pPr>
        <w:keepNext w:val="0"/>
        <w:keepLines w:val="0"/>
        <w:pageBreakBefore w:val="0"/>
        <w:widowControl/>
        <w:suppressLineNumbers w:val="0"/>
        <w:kinsoku/>
        <w:wordWrap/>
        <w:overflowPunct/>
        <w:topLinePunct w:val="0"/>
        <w:autoSpaceDE/>
        <w:autoSpaceDN/>
        <w:bidi w:val="0"/>
        <w:adjustRightInd/>
        <w:snapToGrid/>
        <w:spacing w:line="240" w:lineRule="exact"/>
        <w:ind w:left="560" w:hanging="525" w:hangingChars="350"/>
        <w:jc w:val="both"/>
        <w:textAlignment w:val="center"/>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注：1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本表由电气专业填写，并</w:t>
      </w:r>
      <w:r>
        <w:rPr>
          <w:rFonts w:hint="eastAsia" w:cs="Times New Roman"/>
          <w:i w:val="0"/>
          <w:iCs w:val="0"/>
          <w:color w:val="000000"/>
          <w:kern w:val="0"/>
          <w:sz w:val="15"/>
          <w:szCs w:val="15"/>
          <w:u w:val="none"/>
          <w:lang w:val="en-US" w:eastAsia="zh-CN" w:bidi="ar"/>
        </w:rPr>
        <w:t>编</w:t>
      </w:r>
      <w:r>
        <w:rPr>
          <w:rFonts w:hint="default" w:ascii="Times New Roman" w:hAnsi="Times New Roman" w:eastAsia="宋体" w:cs="Times New Roman"/>
          <w:i w:val="0"/>
          <w:iCs w:val="0"/>
          <w:color w:val="000000"/>
          <w:kern w:val="0"/>
          <w:sz w:val="15"/>
          <w:szCs w:val="15"/>
          <w:u w:val="none"/>
          <w:lang w:val="en-US" w:eastAsia="zh-CN" w:bidi="ar"/>
        </w:rPr>
        <w:t>入电气专业绿色建筑专篇，基本级绿色建筑设计可删除星级设计要求和提高与创新的相关内容；</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eastAsia"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2 </w:t>
      </w:r>
      <w:r>
        <w:rPr>
          <w:rFonts w:hint="eastAsia" w:ascii="Times New Roman" w:hAnsi="Times New Roman" w:eastAsia="宋体" w:cs="Times New Roman"/>
          <w:i w:val="0"/>
          <w:iCs w:val="0"/>
          <w:color w:val="000000"/>
          <w:kern w:val="0"/>
          <w:sz w:val="15"/>
          <w:szCs w:val="15"/>
          <w:u w:val="none"/>
          <w:lang w:val="en-US" w:eastAsia="zh-CN" w:bidi="ar"/>
        </w:rPr>
        <w:t xml:space="preserve"> 一般规定的条文，“设计自评”栏中符合的打“√”，不符合的打“×”，不适用打“○”；星级设计要求的条文，“自评得分”栏中填写设计得分，并将不适用分数填入“不适用分”栏中；</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i w:val="0"/>
          <w:iCs w:val="0"/>
          <w:color w:val="000000"/>
          <w:kern w:val="0"/>
          <w:sz w:val="15"/>
          <w:szCs w:val="15"/>
          <w:u w:val="none"/>
          <w:lang w:val="en-US" w:eastAsia="zh-CN" w:bidi="ar"/>
        </w:rPr>
      </w:pPr>
      <w:r>
        <w:rPr>
          <w:rFonts w:hint="default" w:ascii="Times New Roman" w:hAnsi="Times New Roman" w:eastAsia="宋体" w:cs="Times New Roman"/>
          <w:i w:val="0"/>
          <w:iCs w:val="0"/>
          <w:color w:val="000000"/>
          <w:kern w:val="0"/>
          <w:sz w:val="15"/>
          <w:szCs w:val="15"/>
          <w:u w:val="none"/>
          <w:lang w:val="en-US" w:eastAsia="zh-CN" w:bidi="ar"/>
        </w:rPr>
        <w:t xml:space="preserve">3 </w:t>
      </w:r>
      <w:r>
        <w:rPr>
          <w:rFonts w:hint="eastAsia" w:ascii="Times New Roman" w:hAnsi="Times New Roman" w:eastAsia="宋体" w:cs="Times New Roman"/>
          <w:i w:val="0"/>
          <w:iCs w:val="0"/>
          <w:color w:val="000000"/>
          <w:kern w:val="0"/>
          <w:sz w:val="15"/>
          <w:szCs w:val="15"/>
          <w:u w:val="none"/>
          <w:lang w:val="en-US" w:eastAsia="zh-CN" w:bidi="ar"/>
        </w:rPr>
        <w:t xml:space="preserve"> </w:t>
      </w:r>
      <w:r>
        <w:rPr>
          <w:rFonts w:hint="default" w:ascii="Times New Roman" w:hAnsi="Times New Roman" w:eastAsia="宋体" w:cs="Times New Roman"/>
          <w:i w:val="0"/>
          <w:iCs w:val="0"/>
          <w:color w:val="000000"/>
          <w:kern w:val="0"/>
          <w:sz w:val="15"/>
          <w:szCs w:val="15"/>
          <w:u w:val="none"/>
          <w:lang w:val="en-US" w:eastAsia="zh-CN" w:bidi="ar"/>
        </w:rPr>
        <w:t>在</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设计措施及送审材料</w:t>
      </w:r>
      <w:r>
        <w:rPr>
          <w:rFonts w:hint="eastAsia" w:ascii="Times New Roman" w:hAnsi="Times New Roman" w:eastAsia="宋体" w:cs="Times New Roman"/>
          <w:i w:val="0"/>
          <w:iCs w:val="0"/>
          <w:color w:val="000000"/>
          <w:kern w:val="0"/>
          <w:sz w:val="15"/>
          <w:szCs w:val="15"/>
          <w:u w:val="none"/>
          <w:lang w:val="en-US" w:eastAsia="zh-CN" w:bidi="ar"/>
        </w:rPr>
        <w:t>”</w:t>
      </w:r>
      <w:r>
        <w:rPr>
          <w:rFonts w:hint="default" w:ascii="Times New Roman" w:hAnsi="Times New Roman" w:eastAsia="宋体" w:cs="Times New Roman"/>
          <w:i w:val="0"/>
          <w:iCs w:val="0"/>
          <w:color w:val="000000"/>
          <w:kern w:val="0"/>
          <w:sz w:val="15"/>
          <w:szCs w:val="15"/>
          <w:u w:val="none"/>
          <w:lang w:val="en-US" w:eastAsia="zh-CN" w:bidi="ar"/>
        </w:rPr>
        <w:t>栏中，需对落实的设计内容进行简要的说明，并注明相应的送审材料，且送审材料应能证明各项绿色建筑技术在设计中得到落实</w:t>
      </w:r>
      <w:r>
        <w:rPr>
          <w:rFonts w:hint="eastAsia" w:ascii="Times New Roman" w:hAnsi="Times New Roman" w:eastAsia="宋体" w:cs="Times New Roman"/>
          <w:i w:val="0"/>
          <w:iCs w:val="0"/>
          <w:color w:val="000000"/>
          <w:kern w:val="0"/>
          <w:sz w:val="15"/>
          <w:szCs w:val="15"/>
          <w:u w:val="none"/>
          <w:lang w:val="en-US" w:eastAsia="zh-CN" w:bidi="ar"/>
        </w:rPr>
        <w:t>；</w:t>
      </w:r>
    </w:p>
    <w:p>
      <w:pPr>
        <w:keepNext w:val="0"/>
        <w:keepLines w:val="0"/>
        <w:pageBreakBefore w:val="0"/>
        <w:widowControl w:val="0"/>
        <w:kinsoku/>
        <w:wordWrap/>
        <w:overflowPunct/>
        <w:topLinePunct w:val="0"/>
        <w:autoSpaceDE/>
        <w:autoSpaceDN/>
        <w:bidi w:val="0"/>
        <w:adjustRightInd/>
        <w:snapToGrid/>
        <w:spacing w:line="240" w:lineRule="exact"/>
        <w:ind w:left="540" w:leftChars="150" w:hanging="225" w:hangingChars="150"/>
        <w:textAlignment w:val="auto"/>
        <w:rPr>
          <w:rFonts w:hint="default" w:ascii="Times New Roman" w:hAnsi="Times New Roman" w:eastAsia="宋体" w:cs="Times New Roman"/>
          <w:bCs/>
          <w:color w:val="auto"/>
          <w:lang w:val="en-US" w:eastAsia="zh-CN"/>
        </w:rPr>
      </w:pPr>
      <w:r>
        <w:rPr>
          <w:rFonts w:hint="eastAsia" w:ascii="Times New Roman" w:hAnsi="Times New Roman" w:eastAsia="宋体" w:cs="Times New Roman"/>
          <w:i w:val="0"/>
          <w:iCs w:val="0"/>
          <w:color w:val="000000"/>
          <w:kern w:val="0"/>
          <w:sz w:val="15"/>
          <w:szCs w:val="15"/>
          <w:u w:val="none"/>
          <w:lang w:val="en-US" w:eastAsia="zh-CN" w:bidi="ar"/>
        </w:rPr>
        <w:t xml:space="preserve">4  </w:t>
      </w:r>
      <w:r>
        <w:rPr>
          <w:rFonts w:hint="default" w:ascii="Times New Roman" w:hAnsi="Times New Roman" w:eastAsia="宋体" w:cs="Times New Roman"/>
          <w:i w:val="0"/>
          <w:iCs w:val="0"/>
          <w:color w:val="000000"/>
          <w:kern w:val="0"/>
          <w:sz w:val="15"/>
          <w:szCs w:val="15"/>
          <w:u w:val="none"/>
          <w:lang w:val="en-US" w:eastAsia="zh-CN" w:bidi="ar"/>
        </w:rPr>
        <w:t>二星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、三星</w:t>
      </w:r>
      <w:r>
        <w:rPr>
          <w:rFonts w:hint="eastAsia" w:ascii="Times New Roman" w:hAnsi="Times New Roman" w:eastAsia="宋体" w:cs="Times New Roman"/>
          <w:i w:val="0"/>
          <w:iCs w:val="0"/>
          <w:color w:val="000000"/>
          <w:kern w:val="0"/>
          <w:sz w:val="15"/>
          <w:szCs w:val="15"/>
          <w:u w:val="none"/>
          <w:lang w:val="en-US" w:eastAsia="zh-CN" w:bidi="ar"/>
        </w:rPr>
        <w:t>级</w:t>
      </w:r>
      <w:r>
        <w:rPr>
          <w:rFonts w:hint="default" w:ascii="Times New Roman" w:hAnsi="Times New Roman" w:eastAsia="宋体" w:cs="Times New Roman"/>
          <w:i w:val="0"/>
          <w:iCs w:val="0"/>
          <w:color w:val="000000"/>
          <w:kern w:val="0"/>
          <w:sz w:val="15"/>
          <w:szCs w:val="15"/>
          <w:u w:val="none"/>
          <w:lang w:val="en-US" w:eastAsia="zh-CN" w:bidi="ar"/>
        </w:rPr>
        <w:t>设计还应符合现行国家标准《绿色建筑评价标准》GB/T 50378或现行地方标准《福建省绿色建筑评价标准》DBJ/</w:t>
      </w:r>
      <w:r>
        <w:rPr>
          <w:rFonts w:hint="eastAsia" w:ascii="Times New Roman" w:hAnsi="Times New Roman" w:eastAsia="宋体" w:cs="Times New Roman"/>
          <w:i w:val="0"/>
          <w:iCs w:val="0"/>
          <w:color w:val="000000"/>
          <w:kern w:val="0"/>
          <w:sz w:val="15"/>
          <w:szCs w:val="15"/>
          <w:u w:val="none"/>
          <w:lang w:val="en-US" w:eastAsia="zh-CN" w:bidi="ar"/>
        </w:rPr>
        <w:t xml:space="preserve">T </w:t>
      </w:r>
      <w:r>
        <w:rPr>
          <w:rFonts w:hint="default" w:ascii="Times New Roman" w:hAnsi="Times New Roman" w:eastAsia="宋体" w:cs="Times New Roman"/>
          <w:i w:val="0"/>
          <w:iCs w:val="0"/>
          <w:color w:val="000000"/>
          <w:kern w:val="0"/>
          <w:sz w:val="15"/>
          <w:szCs w:val="15"/>
          <w:u w:val="none"/>
          <w:lang w:val="en-US" w:eastAsia="zh-CN" w:bidi="ar"/>
        </w:rPr>
        <w:t>13-118的要求。</w:t>
      </w:r>
      <w:bookmarkEnd w:id="5"/>
      <w:bookmarkEnd w:id="6"/>
    </w:p>
    <w:sectPr>
      <w:headerReference r:id="rId9" w:type="default"/>
      <w:pgSz w:w="7938" w:h="11510"/>
      <w:pgMar w:top="1134" w:right="964" w:bottom="1020" w:left="964" w:header="851" w:footer="737" w:gutter="0"/>
      <w:pgBorders>
        <w:top w:val="none" w:sz="0" w:space="0"/>
        <w:left w:val="none" w:sz="0" w:space="0"/>
        <w:bottom w:val="none" w:sz="0" w:space="0"/>
        <w:right w:val="none" w:sz="0" w:space="0"/>
      </w:pgBorders>
      <w:pgNumType w:fmt="decimal"/>
      <w:cols w:space="720" w:num="1"/>
      <w:docGrid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方正书宋_GBK"/>
    <w:panose1 w:val="02010600030101010101"/>
    <w:charset w:val="7A"/>
    <w:family w:val="auto"/>
    <w:pitch w:val="default"/>
    <w:sig w:usb0="00000000" w:usb1="0000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803050406030204"/>
    <w:charset w:val="00"/>
    <w:family w:val="roman"/>
    <w:pitch w:val="default"/>
    <w:sig w:usb0="E00006FF" w:usb1="4000045F" w:usb2="00000000"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MingLiU">
    <w:altName w:val="Droid Sans Japanese"/>
    <w:panose1 w:val="02020509000000000000"/>
    <w:charset w:val="88"/>
    <w:family w:val="modern"/>
    <w:pitch w:val="default"/>
    <w:sig w:usb0="00000000" w:usb1="00000000" w:usb2="00000016" w:usb3="00000000" w:csb0="00100001" w:csb1="00000000"/>
  </w:font>
  <w:font w:name="方正书宋_GBK">
    <w:panose1 w:val="02000000000000000000"/>
    <w:charset w:val="86"/>
    <w:family w:val="auto"/>
    <w:pitch w:val="default"/>
    <w:sig w:usb0="00000001" w:usb1="08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keepNext w:val="0"/>
      <w:keepLines w:val="0"/>
      <w:pageBreakBefore w:val="0"/>
      <w:widowControl w:val="0"/>
      <w:kinsoku/>
      <w:wordWrap/>
      <w:overflowPunct/>
      <w:topLinePunct w:val="0"/>
      <w:autoSpaceDE/>
      <w:autoSpaceDN/>
      <w:bidi w:val="0"/>
      <w:adjustRightInd/>
      <w:snapToGrid w:val="0"/>
      <w:spacing w:line="240" w:lineRule="auto"/>
      <w:ind w:right="360" w:rightChars="0"/>
      <w:jc w:val="left"/>
      <w:textAlignment w:val="auto"/>
      <w:outlineLvl w:val="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2"/>
      <w:keepNext w:val="0"/>
      <w:keepLines w:val="0"/>
      <w:pageBreakBefore w:val="0"/>
      <w:widowControl w:val="0"/>
      <w:kinsoku/>
      <w:wordWrap/>
      <w:overflowPunct/>
      <w:topLinePunct w:val="0"/>
      <w:autoSpaceDE/>
      <w:autoSpaceDN/>
      <w:bidi w:val="0"/>
      <w:adjustRightInd/>
      <w:snapToGrid/>
      <w:spacing w:line="240" w:lineRule="auto"/>
      <w:ind w:right="363"/>
      <w:textAlignment w:val="auto"/>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tabs>
        <w:tab w:val="center" w:pos="4153"/>
        <w:tab w:val="right" w:pos="8306"/>
      </w:tabs>
      <w:kinsoku/>
      <w:wordWrap/>
      <w:overflowPunct/>
      <w:topLinePunct w:val="0"/>
      <w:autoSpaceDE/>
      <w:autoSpaceDN/>
      <w:bidi w:val="0"/>
      <w:adjustRightInd/>
      <w:snapToGrid/>
      <w:spacing w:line="100" w:lineRule="exact"/>
      <w:ind w:left="0" w:leftChars="0" w:right="0" w:rightChars="0" w:firstLine="0" w:firstLineChars="0"/>
      <w:jc w:val="both"/>
      <w:textAlignment w:val="auto"/>
      <w:outlineLvl w:val="9"/>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3"/>
      <w:keepNext w:val="0"/>
      <w:keepLines w:val="0"/>
      <w:pageBreakBefore w:val="0"/>
      <w:widowControl w:val="0"/>
      <w:pBdr>
        <w:bottom w:val="none" w:color="auto" w:sz="0" w:space="1"/>
      </w:pBdr>
      <w:kinsoku/>
      <w:wordWrap/>
      <w:overflowPunct/>
      <w:topLinePunct w:val="0"/>
      <w:autoSpaceDE/>
      <w:autoSpaceDN/>
      <w:bidi w:val="0"/>
      <w:adjustRightInd/>
      <w:snapToGrid/>
      <w:spacing w:line="240" w:lineRule="auto"/>
      <w:textAlignment w:val="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keepNext w:val="0"/>
      <w:keepLines w:val="0"/>
      <w:pageBreakBefore w:val="0"/>
      <w:widowControl w:val="0"/>
      <w:kinsoku/>
      <w:wordWrap/>
      <w:overflowPunct/>
      <w:topLinePunct w:val="0"/>
      <w:autoSpaceDE/>
      <w:autoSpaceDN/>
      <w:bidi w:val="0"/>
      <w:adjustRightInd/>
      <w:snapToGrid/>
      <w:spacing w:line="240" w:lineRule="auto"/>
      <w:textAlignment w:val="auto"/>
      <w:rPr>
        <w:sz w:val="2"/>
        <w:szCs w:val="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isplayBackgroundShape w:val="true"/>
  <w:bordersDoNotSurroundHeader w:val="false"/>
  <w:bordersDoNotSurroundFooter w:val="false"/>
  <w:documentProtection w:enforcement="0"/>
  <w:defaultTabStop w:val="420"/>
  <w:hyphenationZone w:val="360"/>
  <w:doNotHyphenateCaps/>
  <w:drawingGridHorizontalSpacing w:val="105"/>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footnotePr>
    <w:footnote w:id="0"/>
    <w:footnote w:id="1"/>
  </w:footnotePr>
  <w:endnotePr>
    <w:endnote w:id="0"/>
    <w:endnote w:id="1"/>
  </w:endnotePr>
  <w:compat>
    <w:spaceForUL/>
    <w:balanceSingleByteDoubleByteWidth/>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NkNTc4M2Q4YTJjNjI5ZDkzMGIxYzFlNmM4N2UxMjMifQ=="/>
  </w:docVars>
  <w:rsids>
    <w:rsidRoot w:val="00635B5B"/>
    <w:rsid w:val="00000F62"/>
    <w:rsid w:val="00002243"/>
    <w:rsid w:val="0000294C"/>
    <w:rsid w:val="000030E0"/>
    <w:rsid w:val="000044FD"/>
    <w:rsid w:val="0000461C"/>
    <w:rsid w:val="000055E5"/>
    <w:rsid w:val="00005F33"/>
    <w:rsid w:val="000069CB"/>
    <w:rsid w:val="000078F2"/>
    <w:rsid w:val="00011C89"/>
    <w:rsid w:val="00017C8C"/>
    <w:rsid w:val="00021162"/>
    <w:rsid w:val="000228A2"/>
    <w:rsid w:val="00024FBF"/>
    <w:rsid w:val="00025133"/>
    <w:rsid w:val="00025158"/>
    <w:rsid w:val="0002550D"/>
    <w:rsid w:val="000272AA"/>
    <w:rsid w:val="00033C57"/>
    <w:rsid w:val="00034277"/>
    <w:rsid w:val="00036708"/>
    <w:rsid w:val="000405C8"/>
    <w:rsid w:val="000405CC"/>
    <w:rsid w:val="0004080F"/>
    <w:rsid w:val="00041ACD"/>
    <w:rsid w:val="0004282F"/>
    <w:rsid w:val="000429BB"/>
    <w:rsid w:val="000442BB"/>
    <w:rsid w:val="00046BEE"/>
    <w:rsid w:val="00053438"/>
    <w:rsid w:val="000566D7"/>
    <w:rsid w:val="00057854"/>
    <w:rsid w:val="00062495"/>
    <w:rsid w:val="000628AD"/>
    <w:rsid w:val="000628BF"/>
    <w:rsid w:val="000629CB"/>
    <w:rsid w:val="00063413"/>
    <w:rsid w:val="00064BE4"/>
    <w:rsid w:val="00067995"/>
    <w:rsid w:val="00067DA9"/>
    <w:rsid w:val="000700B2"/>
    <w:rsid w:val="000712EC"/>
    <w:rsid w:val="000717A6"/>
    <w:rsid w:val="000725F1"/>
    <w:rsid w:val="000747CB"/>
    <w:rsid w:val="0007495F"/>
    <w:rsid w:val="00081DED"/>
    <w:rsid w:val="00083BCD"/>
    <w:rsid w:val="00084115"/>
    <w:rsid w:val="000866F0"/>
    <w:rsid w:val="00092558"/>
    <w:rsid w:val="0009443B"/>
    <w:rsid w:val="00095B24"/>
    <w:rsid w:val="000966D3"/>
    <w:rsid w:val="0009705E"/>
    <w:rsid w:val="00097ACB"/>
    <w:rsid w:val="000A13ED"/>
    <w:rsid w:val="000A1A62"/>
    <w:rsid w:val="000A399A"/>
    <w:rsid w:val="000A5808"/>
    <w:rsid w:val="000A615A"/>
    <w:rsid w:val="000A6B83"/>
    <w:rsid w:val="000A6B99"/>
    <w:rsid w:val="000B0A44"/>
    <w:rsid w:val="000B1315"/>
    <w:rsid w:val="000B2D0D"/>
    <w:rsid w:val="000B2FC1"/>
    <w:rsid w:val="000B38F6"/>
    <w:rsid w:val="000B4A1C"/>
    <w:rsid w:val="000B4E99"/>
    <w:rsid w:val="000B4F57"/>
    <w:rsid w:val="000B4FC4"/>
    <w:rsid w:val="000B5949"/>
    <w:rsid w:val="000B59FF"/>
    <w:rsid w:val="000B7FF4"/>
    <w:rsid w:val="000C141B"/>
    <w:rsid w:val="000C1A88"/>
    <w:rsid w:val="000C3748"/>
    <w:rsid w:val="000C3A84"/>
    <w:rsid w:val="000C3FDE"/>
    <w:rsid w:val="000C6042"/>
    <w:rsid w:val="000D71A2"/>
    <w:rsid w:val="000D7A3A"/>
    <w:rsid w:val="000E0114"/>
    <w:rsid w:val="000E243A"/>
    <w:rsid w:val="000E4A43"/>
    <w:rsid w:val="000E4AA5"/>
    <w:rsid w:val="000E4D0C"/>
    <w:rsid w:val="000E7360"/>
    <w:rsid w:val="000F0A6A"/>
    <w:rsid w:val="000F18F8"/>
    <w:rsid w:val="000F2C44"/>
    <w:rsid w:val="001007C7"/>
    <w:rsid w:val="00101CD7"/>
    <w:rsid w:val="00102146"/>
    <w:rsid w:val="00102434"/>
    <w:rsid w:val="001032BE"/>
    <w:rsid w:val="00105841"/>
    <w:rsid w:val="00106F88"/>
    <w:rsid w:val="00107A0A"/>
    <w:rsid w:val="001110F4"/>
    <w:rsid w:val="001111EB"/>
    <w:rsid w:val="00111EAB"/>
    <w:rsid w:val="001149B4"/>
    <w:rsid w:val="00115B68"/>
    <w:rsid w:val="00116C4A"/>
    <w:rsid w:val="00116FCF"/>
    <w:rsid w:val="00117679"/>
    <w:rsid w:val="00120318"/>
    <w:rsid w:val="00121DDA"/>
    <w:rsid w:val="00122718"/>
    <w:rsid w:val="00122C11"/>
    <w:rsid w:val="001236C5"/>
    <w:rsid w:val="001246B3"/>
    <w:rsid w:val="001257A3"/>
    <w:rsid w:val="00126CDF"/>
    <w:rsid w:val="00133225"/>
    <w:rsid w:val="0013361F"/>
    <w:rsid w:val="001342EB"/>
    <w:rsid w:val="00134E73"/>
    <w:rsid w:val="00135674"/>
    <w:rsid w:val="0013714F"/>
    <w:rsid w:val="001420CE"/>
    <w:rsid w:val="00142A86"/>
    <w:rsid w:val="001451BD"/>
    <w:rsid w:val="001505D2"/>
    <w:rsid w:val="00155E5F"/>
    <w:rsid w:val="00156F19"/>
    <w:rsid w:val="001629CF"/>
    <w:rsid w:val="001629FA"/>
    <w:rsid w:val="00163824"/>
    <w:rsid w:val="00163E29"/>
    <w:rsid w:val="0016440A"/>
    <w:rsid w:val="00165DFA"/>
    <w:rsid w:val="00167879"/>
    <w:rsid w:val="0017000C"/>
    <w:rsid w:val="001706E2"/>
    <w:rsid w:val="00170DC3"/>
    <w:rsid w:val="00171E7A"/>
    <w:rsid w:val="001737F3"/>
    <w:rsid w:val="001739DA"/>
    <w:rsid w:val="001747A5"/>
    <w:rsid w:val="001753AC"/>
    <w:rsid w:val="00175B0E"/>
    <w:rsid w:val="00176AE0"/>
    <w:rsid w:val="001801BE"/>
    <w:rsid w:val="00180CFD"/>
    <w:rsid w:val="001813C0"/>
    <w:rsid w:val="001836B8"/>
    <w:rsid w:val="00183AD2"/>
    <w:rsid w:val="001841F7"/>
    <w:rsid w:val="001854D0"/>
    <w:rsid w:val="0018583E"/>
    <w:rsid w:val="00187774"/>
    <w:rsid w:val="0019049D"/>
    <w:rsid w:val="001905BD"/>
    <w:rsid w:val="001950CB"/>
    <w:rsid w:val="0019549F"/>
    <w:rsid w:val="001957AC"/>
    <w:rsid w:val="001A2D10"/>
    <w:rsid w:val="001A32D0"/>
    <w:rsid w:val="001A3D69"/>
    <w:rsid w:val="001B074D"/>
    <w:rsid w:val="001B1A90"/>
    <w:rsid w:val="001B49C5"/>
    <w:rsid w:val="001B7E03"/>
    <w:rsid w:val="001C15A9"/>
    <w:rsid w:val="001C2FEC"/>
    <w:rsid w:val="001C3A41"/>
    <w:rsid w:val="001C3F52"/>
    <w:rsid w:val="001C3F59"/>
    <w:rsid w:val="001C6886"/>
    <w:rsid w:val="001C7FE8"/>
    <w:rsid w:val="001D2A4B"/>
    <w:rsid w:val="001D4D5F"/>
    <w:rsid w:val="001D50FB"/>
    <w:rsid w:val="001E3151"/>
    <w:rsid w:val="001E337E"/>
    <w:rsid w:val="001E3B38"/>
    <w:rsid w:val="001E46D3"/>
    <w:rsid w:val="001E4A98"/>
    <w:rsid w:val="001E4B64"/>
    <w:rsid w:val="001E7924"/>
    <w:rsid w:val="001F0519"/>
    <w:rsid w:val="001F5782"/>
    <w:rsid w:val="00202BF1"/>
    <w:rsid w:val="00204CAA"/>
    <w:rsid w:val="002074B9"/>
    <w:rsid w:val="002104A7"/>
    <w:rsid w:val="00210747"/>
    <w:rsid w:val="00210AE3"/>
    <w:rsid w:val="00211BBC"/>
    <w:rsid w:val="00215297"/>
    <w:rsid w:val="00216885"/>
    <w:rsid w:val="00216F17"/>
    <w:rsid w:val="00217E67"/>
    <w:rsid w:val="00220097"/>
    <w:rsid w:val="002200C6"/>
    <w:rsid w:val="00221016"/>
    <w:rsid w:val="0022281E"/>
    <w:rsid w:val="0022341E"/>
    <w:rsid w:val="002267AE"/>
    <w:rsid w:val="0023104B"/>
    <w:rsid w:val="002347B3"/>
    <w:rsid w:val="00237C94"/>
    <w:rsid w:val="0024117D"/>
    <w:rsid w:val="00242067"/>
    <w:rsid w:val="00244171"/>
    <w:rsid w:val="00245F77"/>
    <w:rsid w:val="002464A8"/>
    <w:rsid w:val="00246B28"/>
    <w:rsid w:val="00251EEF"/>
    <w:rsid w:val="00252026"/>
    <w:rsid w:val="002522E8"/>
    <w:rsid w:val="00254E48"/>
    <w:rsid w:val="002554B9"/>
    <w:rsid w:val="00256F8C"/>
    <w:rsid w:val="00261137"/>
    <w:rsid w:val="00263187"/>
    <w:rsid w:val="002642E1"/>
    <w:rsid w:val="0026662A"/>
    <w:rsid w:val="00266C89"/>
    <w:rsid w:val="002670A4"/>
    <w:rsid w:val="002675D2"/>
    <w:rsid w:val="00270871"/>
    <w:rsid w:val="002732D6"/>
    <w:rsid w:val="00273771"/>
    <w:rsid w:val="00273F80"/>
    <w:rsid w:val="0027460A"/>
    <w:rsid w:val="00275158"/>
    <w:rsid w:val="002763E8"/>
    <w:rsid w:val="002764A8"/>
    <w:rsid w:val="00276C24"/>
    <w:rsid w:val="00282D1C"/>
    <w:rsid w:val="00283E85"/>
    <w:rsid w:val="00285FB9"/>
    <w:rsid w:val="00286888"/>
    <w:rsid w:val="00287CD7"/>
    <w:rsid w:val="00291A11"/>
    <w:rsid w:val="00292C8B"/>
    <w:rsid w:val="0029422D"/>
    <w:rsid w:val="002A0C01"/>
    <w:rsid w:val="002A0FAC"/>
    <w:rsid w:val="002A21F8"/>
    <w:rsid w:val="002A2AB3"/>
    <w:rsid w:val="002A4DDB"/>
    <w:rsid w:val="002A77C2"/>
    <w:rsid w:val="002B000B"/>
    <w:rsid w:val="002B20EB"/>
    <w:rsid w:val="002B3745"/>
    <w:rsid w:val="002B4B0E"/>
    <w:rsid w:val="002B58BD"/>
    <w:rsid w:val="002B6C00"/>
    <w:rsid w:val="002B6EAF"/>
    <w:rsid w:val="002B7140"/>
    <w:rsid w:val="002B7612"/>
    <w:rsid w:val="002B7BD8"/>
    <w:rsid w:val="002B7E95"/>
    <w:rsid w:val="002C0924"/>
    <w:rsid w:val="002C3201"/>
    <w:rsid w:val="002C3355"/>
    <w:rsid w:val="002C6C77"/>
    <w:rsid w:val="002D0A94"/>
    <w:rsid w:val="002D38F0"/>
    <w:rsid w:val="002D3D7F"/>
    <w:rsid w:val="002D6241"/>
    <w:rsid w:val="002D7AEA"/>
    <w:rsid w:val="002D7AF9"/>
    <w:rsid w:val="002E0169"/>
    <w:rsid w:val="002E0599"/>
    <w:rsid w:val="002E137F"/>
    <w:rsid w:val="002E1D29"/>
    <w:rsid w:val="002E43FB"/>
    <w:rsid w:val="002E46A5"/>
    <w:rsid w:val="002E47BD"/>
    <w:rsid w:val="002E6207"/>
    <w:rsid w:val="002E675F"/>
    <w:rsid w:val="002F00C9"/>
    <w:rsid w:val="002F1B04"/>
    <w:rsid w:val="002F5D7A"/>
    <w:rsid w:val="002F66D6"/>
    <w:rsid w:val="00300C6D"/>
    <w:rsid w:val="00300FF7"/>
    <w:rsid w:val="0030160B"/>
    <w:rsid w:val="003043C6"/>
    <w:rsid w:val="00305C9A"/>
    <w:rsid w:val="00306244"/>
    <w:rsid w:val="00307324"/>
    <w:rsid w:val="00310CDA"/>
    <w:rsid w:val="00311795"/>
    <w:rsid w:val="00314778"/>
    <w:rsid w:val="00314EF2"/>
    <w:rsid w:val="00315369"/>
    <w:rsid w:val="003202C5"/>
    <w:rsid w:val="00320545"/>
    <w:rsid w:val="00324299"/>
    <w:rsid w:val="003254E2"/>
    <w:rsid w:val="003264EF"/>
    <w:rsid w:val="003305F6"/>
    <w:rsid w:val="00331214"/>
    <w:rsid w:val="00331E4B"/>
    <w:rsid w:val="00332F10"/>
    <w:rsid w:val="00335722"/>
    <w:rsid w:val="00335F11"/>
    <w:rsid w:val="00337098"/>
    <w:rsid w:val="00337287"/>
    <w:rsid w:val="00337C07"/>
    <w:rsid w:val="00342EE1"/>
    <w:rsid w:val="0034660A"/>
    <w:rsid w:val="003526BE"/>
    <w:rsid w:val="00352CA8"/>
    <w:rsid w:val="003533FF"/>
    <w:rsid w:val="003565C9"/>
    <w:rsid w:val="003608C9"/>
    <w:rsid w:val="00361ECD"/>
    <w:rsid w:val="00362263"/>
    <w:rsid w:val="00362C05"/>
    <w:rsid w:val="00363473"/>
    <w:rsid w:val="00366AC9"/>
    <w:rsid w:val="00367C2F"/>
    <w:rsid w:val="00370C5B"/>
    <w:rsid w:val="0037109C"/>
    <w:rsid w:val="0037395C"/>
    <w:rsid w:val="00373A46"/>
    <w:rsid w:val="00373DE2"/>
    <w:rsid w:val="00374923"/>
    <w:rsid w:val="0037691A"/>
    <w:rsid w:val="00376CB8"/>
    <w:rsid w:val="00377596"/>
    <w:rsid w:val="003777BF"/>
    <w:rsid w:val="0038163B"/>
    <w:rsid w:val="00381A0A"/>
    <w:rsid w:val="00381C1F"/>
    <w:rsid w:val="0038440F"/>
    <w:rsid w:val="00384993"/>
    <w:rsid w:val="00386237"/>
    <w:rsid w:val="0038777F"/>
    <w:rsid w:val="00387FDE"/>
    <w:rsid w:val="003908D3"/>
    <w:rsid w:val="003909C0"/>
    <w:rsid w:val="00390C33"/>
    <w:rsid w:val="003921D4"/>
    <w:rsid w:val="00394FB8"/>
    <w:rsid w:val="003A1EF3"/>
    <w:rsid w:val="003A1F01"/>
    <w:rsid w:val="003A546E"/>
    <w:rsid w:val="003A6612"/>
    <w:rsid w:val="003A7281"/>
    <w:rsid w:val="003A7E4A"/>
    <w:rsid w:val="003B13AE"/>
    <w:rsid w:val="003B16AD"/>
    <w:rsid w:val="003B3F0F"/>
    <w:rsid w:val="003B4D24"/>
    <w:rsid w:val="003B6632"/>
    <w:rsid w:val="003B6BD3"/>
    <w:rsid w:val="003C3821"/>
    <w:rsid w:val="003C3E5E"/>
    <w:rsid w:val="003C5AFF"/>
    <w:rsid w:val="003C6879"/>
    <w:rsid w:val="003D10FE"/>
    <w:rsid w:val="003D22F5"/>
    <w:rsid w:val="003D284D"/>
    <w:rsid w:val="003D46D5"/>
    <w:rsid w:val="003E0210"/>
    <w:rsid w:val="003E054D"/>
    <w:rsid w:val="003E32BB"/>
    <w:rsid w:val="003E393D"/>
    <w:rsid w:val="003E4031"/>
    <w:rsid w:val="003E5ACE"/>
    <w:rsid w:val="003E712A"/>
    <w:rsid w:val="003F00F0"/>
    <w:rsid w:val="003F0784"/>
    <w:rsid w:val="003F0FBF"/>
    <w:rsid w:val="003F1550"/>
    <w:rsid w:val="003F1FEE"/>
    <w:rsid w:val="003F2959"/>
    <w:rsid w:val="003F35ED"/>
    <w:rsid w:val="003F3806"/>
    <w:rsid w:val="003F424F"/>
    <w:rsid w:val="003F46D7"/>
    <w:rsid w:val="003F545F"/>
    <w:rsid w:val="003F5ADA"/>
    <w:rsid w:val="004004D4"/>
    <w:rsid w:val="00402D60"/>
    <w:rsid w:val="00403BB7"/>
    <w:rsid w:val="00403C9D"/>
    <w:rsid w:val="004041E6"/>
    <w:rsid w:val="004044AF"/>
    <w:rsid w:val="00407AE6"/>
    <w:rsid w:val="004112E5"/>
    <w:rsid w:val="004129BB"/>
    <w:rsid w:val="00413B4D"/>
    <w:rsid w:val="004148D5"/>
    <w:rsid w:val="00415AFD"/>
    <w:rsid w:val="004172CE"/>
    <w:rsid w:val="00424B21"/>
    <w:rsid w:val="0043057D"/>
    <w:rsid w:val="00431DCF"/>
    <w:rsid w:val="004331BA"/>
    <w:rsid w:val="004332E2"/>
    <w:rsid w:val="0043341D"/>
    <w:rsid w:val="0043626D"/>
    <w:rsid w:val="00437382"/>
    <w:rsid w:val="00437576"/>
    <w:rsid w:val="00441068"/>
    <w:rsid w:val="00441411"/>
    <w:rsid w:val="0044181F"/>
    <w:rsid w:val="00441EA0"/>
    <w:rsid w:val="00446BDB"/>
    <w:rsid w:val="00447637"/>
    <w:rsid w:val="004508FE"/>
    <w:rsid w:val="0045282F"/>
    <w:rsid w:val="0045286A"/>
    <w:rsid w:val="004563BB"/>
    <w:rsid w:val="004570B8"/>
    <w:rsid w:val="00457D5B"/>
    <w:rsid w:val="00460150"/>
    <w:rsid w:val="00462402"/>
    <w:rsid w:val="00462719"/>
    <w:rsid w:val="004648ED"/>
    <w:rsid w:val="00471681"/>
    <w:rsid w:val="00471EC9"/>
    <w:rsid w:val="0047379F"/>
    <w:rsid w:val="00475C33"/>
    <w:rsid w:val="00481603"/>
    <w:rsid w:val="004839D4"/>
    <w:rsid w:val="0048475C"/>
    <w:rsid w:val="0048784F"/>
    <w:rsid w:val="00490630"/>
    <w:rsid w:val="004926D9"/>
    <w:rsid w:val="00493C04"/>
    <w:rsid w:val="00495D84"/>
    <w:rsid w:val="00496669"/>
    <w:rsid w:val="004A3C1C"/>
    <w:rsid w:val="004A5087"/>
    <w:rsid w:val="004A699F"/>
    <w:rsid w:val="004A6CCA"/>
    <w:rsid w:val="004A7047"/>
    <w:rsid w:val="004B07B2"/>
    <w:rsid w:val="004B11AF"/>
    <w:rsid w:val="004B304D"/>
    <w:rsid w:val="004B363C"/>
    <w:rsid w:val="004B36C9"/>
    <w:rsid w:val="004B3CC8"/>
    <w:rsid w:val="004B674A"/>
    <w:rsid w:val="004B75D5"/>
    <w:rsid w:val="004C0ACA"/>
    <w:rsid w:val="004C1897"/>
    <w:rsid w:val="004C2B98"/>
    <w:rsid w:val="004C2C34"/>
    <w:rsid w:val="004C7D35"/>
    <w:rsid w:val="004D3C68"/>
    <w:rsid w:val="004D4454"/>
    <w:rsid w:val="004D682D"/>
    <w:rsid w:val="004D713C"/>
    <w:rsid w:val="004E0220"/>
    <w:rsid w:val="004E54BE"/>
    <w:rsid w:val="004E6003"/>
    <w:rsid w:val="004E7C9D"/>
    <w:rsid w:val="004E7D3C"/>
    <w:rsid w:val="004E7D57"/>
    <w:rsid w:val="004F0951"/>
    <w:rsid w:val="004F1724"/>
    <w:rsid w:val="004F2141"/>
    <w:rsid w:val="004F381D"/>
    <w:rsid w:val="004F49A7"/>
    <w:rsid w:val="004F4EA4"/>
    <w:rsid w:val="004F5C8A"/>
    <w:rsid w:val="004F6ADD"/>
    <w:rsid w:val="004F7DEB"/>
    <w:rsid w:val="00504206"/>
    <w:rsid w:val="005045F2"/>
    <w:rsid w:val="00506990"/>
    <w:rsid w:val="0050725D"/>
    <w:rsid w:val="00511E46"/>
    <w:rsid w:val="00512A23"/>
    <w:rsid w:val="005136C8"/>
    <w:rsid w:val="0051520E"/>
    <w:rsid w:val="00515812"/>
    <w:rsid w:val="00516FC4"/>
    <w:rsid w:val="005226F7"/>
    <w:rsid w:val="00523CE3"/>
    <w:rsid w:val="00523FC1"/>
    <w:rsid w:val="005243C9"/>
    <w:rsid w:val="0052454A"/>
    <w:rsid w:val="005251F1"/>
    <w:rsid w:val="0053322A"/>
    <w:rsid w:val="0053707D"/>
    <w:rsid w:val="005370F4"/>
    <w:rsid w:val="00537737"/>
    <w:rsid w:val="005377AD"/>
    <w:rsid w:val="0054164E"/>
    <w:rsid w:val="00541F2A"/>
    <w:rsid w:val="005427BD"/>
    <w:rsid w:val="00544886"/>
    <w:rsid w:val="00544907"/>
    <w:rsid w:val="00544C44"/>
    <w:rsid w:val="00545959"/>
    <w:rsid w:val="00546261"/>
    <w:rsid w:val="00551276"/>
    <w:rsid w:val="00553347"/>
    <w:rsid w:val="00555644"/>
    <w:rsid w:val="00561394"/>
    <w:rsid w:val="0056376F"/>
    <w:rsid w:val="00564971"/>
    <w:rsid w:val="00564B3E"/>
    <w:rsid w:val="00564F79"/>
    <w:rsid w:val="00566759"/>
    <w:rsid w:val="00566BDF"/>
    <w:rsid w:val="0057088C"/>
    <w:rsid w:val="005720FA"/>
    <w:rsid w:val="00572B94"/>
    <w:rsid w:val="00572CBB"/>
    <w:rsid w:val="0057371F"/>
    <w:rsid w:val="00573BEC"/>
    <w:rsid w:val="00574DC0"/>
    <w:rsid w:val="00575CFF"/>
    <w:rsid w:val="00575F42"/>
    <w:rsid w:val="00576677"/>
    <w:rsid w:val="00577C01"/>
    <w:rsid w:val="00582D10"/>
    <w:rsid w:val="00584DA8"/>
    <w:rsid w:val="0058664E"/>
    <w:rsid w:val="00590567"/>
    <w:rsid w:val="0059256E"/>
    <w:rsid w:val="005926D1"/>
    <w:rsid w:val="005929D5"/>
    <w:rsid w:val="00592B33"/>
    <w:rsid w:val="00592B55"/>
    <w:rsid w:val="00593D1D"/>
    <w:rsid w:val="00594C26"/>
    <w:rsid w:val="00597F54"/>
    <w:rsid w:val="005A44F9"/>
    <w:rsid w:val="005A4DD0"/>
    <w:rsid w:val="005A7FAF"/>
    <w:rsid w:val="005B0849"/>
    <w:rsid w:val="005B0E84"/>
    <w:rsid w:val="005B2669"/>
    <w:rsid w:val="005B52EF"/>
    <w:rsid w:val="005B5744"/>
    <w:rsid w:val="005B5F69"/>
    <w:rsid w:val="005B6128"/>
    <w:rsid w:val="005B6FB7"/>
    <w:rsid w:val="005C1CB5"/>
    <w:rsid w:val="005C4B50"/>
    <w:rsid w:val="005C5805"/>
    <w:rsid w:val="005C59F6"/>
    <w:rsid w:val="005C681B"/>
    <w:rsid w:val="005C6B4B"/>
    <w:rsid w:val="005D0A4E"/>
    <w:rsid w:val="005D2295"/>
    <w:rsid w:val="005D2854"/>
    <w:rsid w:val="005D42C3"/>
    <w:rsid w:val="005D4A90"/>
    <w:rsid w:val="005D565B"/>
    <w:rsid w:val="005D5C81"/>
    <w:rsid w:val="005D65A0"/>
    <w:rsid w:val="005D6DD9"/>
    <w:rsid w:val="005D6F46"/>
    <w:rsid w:val="005D79A7"/>
    <w:rsid w:val="005E682C"/>
    <w:rsid w:val="005E6FF5"/>
    <w:rsid w:val="005E7DA1"/>
    <w:rsid w:val="005E7E09"/>
    <w:rsid w:val="005F0099"/>
    <w:rsid w:val="005F030A"/>
    <w:rsid w:val="005F159A"/>
    <w:rsid w:val="005F3BE8"/>
    <w:rsid w:val="005F410F"/>
    <w:rsid w:val="0060192C"/>
    <w:rsid w:val="00601E27"/>
    <w:rsid w:val="006039A9"/>
    <w:rsid w:val="006041A7"/>
    <w:rsid w:val="006064BB"/>
    <w:rsid w:val="00610050"/>
    <w:rsid w:val="00613A43"/>
    <w:rsid w:val="006141B9"/>
    <w:rsid w:val="00614448"/>
    <w:rsid w:val="00615506"/>
    <w:rsid w:val="00617EEF"/>
    <w:rsid w:val="00621AB7"/>
    <w:rsid w:val="00622F46"/>
    <w:rsid w:val="0062302B"/>
    <w:rsid w:val="00626B66"/>
    <w:rsid w:val="00631BFD"/>
    <w:rsid w:val="00635B5B"/>
    <w:rsid w:val="006365E4"/>
    <w:rsid w:val="00640548"/>
    <w:rsid w:val="00640B2D"/>
    <w:rsid w:val="00641CEB"/>
    <w:rsid w:val="00642A10"/>
    <w:rsid w:val="00644A65"/>
    <w:rsid w:val="006453EA"/>
    <w:rsid w:val="00645E58"/>
    <w:rsid w:val="00647922"/>
    <w:rsid w:val="00647FB4"/>
    <w:rsid w:val="0065007C"/>
    <w:rsid w:val="00650142"/>
    <w:rsid w:val="00650DF7"/>
    <w:rsid w:val="006561AA"/>
    <w:rsid w:val="00657423"/>
    <w:rsid w:val="00661905"/>
    <w:rsid w:val="00661F5D"/>
    <w:rsid w:val="006627B4"/>
    <w:rsid w:val="00662CB5"/>
    <w:rsid w:val="0066324E"/>
    <w:rsid w:val="006635F3"/>
    <w:rsid w:val="00665B72"/>
    <w:rsid w:val="00666517"/>
    <w:rsid w:val="0066653D"/>
    <w:rsid w:val="00666699"/>
    <w:rsid w:val="006678B6"/>
    <w:rsid w:val="00671119"/>
    <w:rsid w:val="0067224C"/>
    <w:rsid w:val="00673A0D"/>
    <w:rsid w:val="00674637"/>
    <w:rsid w:val="00677261"/>
    <w:rsid w:val="006806C4"/>
    <w:rsid w:val="00682779"/>
    <w:rsid w:val="00682D4B"/>
    <w:rsid w:val="00683C4F"/>
    <w:rsid w:val="00686C60"/>
    <w:rsid w:val="0068714C"/>
    <w:rsid w:val="00690A93"/>
    <w:rsid w:val="006932F9"/>
    <w:rsid w:val="00693A0F"/>
    <w:rsid w:val="00694B8F"/>
    <w:rsid w:val="00694DE8"/>
    <w:rsid w:val="00696C3D"/>
    <w:rsid w:val="006978E5"/>
    <w:rsid w:val="006A0B50"/>
    <w:rsid w:val="006A4DEE"/>
    <w:rsid w:val="006A6B56"/>
    <w:rsid w:val="006A6C22"/>
    <w:rsid w:val="006B0302"/>
    <w:rsid w:val="006B08DE"/>
    <w:rsid w:val="006B0A46"/>
    <w:rsid w:val="006B328C"/>
    <w:rsid w:val="006B3BF8"/>
    <w:rsid w:val="006B49E9"/>
    <w:rsid w:val="006B4EAE"/>
    <w:rsid w:val="006C0E1F"/>
    <w:rsid w:val="006C1917"/>
    <w:rsid w:val="006C200F"/>
    <w:rsid w:val="006C209E"/>
    <w:rsid w:val="006C3ADD"/>
    <w:rsid w:val="006C5862"/>
    <w:rsid w:val="006C7E7B"/>
    <w:rsid w:val="006D01A5"/>
    <w:rsid w:val="006D1746"/>
    <w:rsid w:val="006D60A3"/>
    <w:rsid w:val="006D6F89"/>
    <w:rsid w:val="006E1B79"/>
    <w:rsid w:val="006E278D"/>
    <w:rsid w:val="006E3DA8"/>
    <w:rsid w:val="006E4AE8"/>
    <w:rsid w:val="006F19BF"/>
    <w:rsid w:val="006F263D"/>
    <w:rsid w:val="006F7FAC"/>
    <w:rsid w:val="00700EEF"/>
    <w:rsid w:val="00701394"/>
    <w:rsid w:val="007033B7"/>
    <w:rsid w:val="00707907"/>
    <w:rsid w:val="00711022"/>
    <w:rsid w:val="00714283"/>
    <w:rsid w:val="00714923"/>
    <w:rsid w:val="007150F8"/>
    <w:rsid w:val="007156BC"/>
    <w:rsid w:val="007168C5"/>
    <w:rsid w:val="007169FB"/>
    <w:rsid w:val="00722B3B"/>
    <w:rsid w:val="00722C0E"/>
    <w:rsid w:val="00723DBC"/>
    <w:rsid w:val="0072739A"/>
    <w:rsid w:val="0073056E"/>
    <w:rsid w:val="00733262"/>
    <w:rsid w:val="00733FDD"/>
    <w:rsid w:val="007368F7"/>
    <w:rsid w:val="00741F0F"/>
    <w:rsid w:val="00743902"/>
    <w:rsid w:val="00747158"/>
    <w:rsid w:val="00747226"/>
    <w:rsid w:val="00751A2C"/>
    <w:rsid w:val="00753E56"/>
    <w:rsid w:val="007557F2"/>
    <w:rsid w:val="00763584"/>
    <w:rsid w:val="0076594E"/>
    <w:rsid w:val="00766283"/>
    <w:rsid w:val="00767512"/>
    <w:rsid w:val="00770352"/>
    <w:rsid w:val="00771749"/>
    <w:rsid w:val="0078218E"/>
    <w:rsid w:val="007826FD"/>
    <w:rsid w:val="00783754"/>
    <w:rsid w:val="007846DB"/>
    <w:rsid w:val="00784DB0"/>
    <w:rsid w:val="00785769"/>
    <w:rsid w:val="00786F43"/>
    <w:rsid w:val="00790E66"/>
    <w:rsid w:val="00792AC9"/>
    <w:rsid w:val="00793BE8"/>
    <w:rsid w:val="00793E95"/>
    <w:rsid w:val="00794D45"/>
    <w:rsid w:val="007A06F6"/>
    <w:rsid w:val="007A3674"/>
    <w:rsid w:val="007A394D"/>
    <w:rsid w:val="007A5A33"/>
    <w:rsid w:val="007B3E40"/>
    <w:rsid w:val="007B48BD"/>
    <w:rsid w:val="007B660F"/>
    <w:rsid w:val="007B6CB7"/>
    <w:rsid w:val="007C038F"/>
    <w:rsid w:val="007C2132"/>
    <w:rsid w:val="007C2371"/>
    <w:rsid w:val="007C2DBF"/>
    <w:rsid w:val="007C5181"/>
    <w:rsid w:val="007C6753"/>
    <w:rsid w:val="007C72AF"/>
    <w:rsid w:val="007C79E7"/>
    <w:rsid w:val="007D2F59"/>
    <w:rsid w:val="007D664C"/>
    <w:rsid w:val="007D72A2"/>
    <w:rsid w:val="007E1297"/>
    <w:rsid w:val="007E13EB"/>
    <w:rsid w:val="007E658F"/>
    <w:rsid w:val="007F2769"/>
    <w:rsid w:val="00800029"/>
    <w:rsid w:val="008012BA"/>
    <w:rsid w:val="008017DC"/>
    <w:rsid w:val="00801F97"/>
    <w:rsid w:val="00803F74"/>
    <w:rsid w:val="008044E7"/>
    <w:rsid w:val="008048D8"/>
    <w:rsid w:val="0081003C"/>
    <w:rsid w:val="00811558"/>
    <w:rsid w:val="0081634B"/>
    <w:rsid w:val="00816A40"/>
    <w:rsid w:val="008213B4"/>
    <w:rsid w:val="00830331"/>
    <w:rsid w:val="00830E72"/>
    <w:rsid w:val="008341F0"/>
    <w:rsid w:val="008343C6"/>
    <w:rsid w:val="00835392"/>
    <w:rsid w:val="008365F3"/>
    <w:rsid w:val="008365FC"/>
    <w:rsid w:val="00836A3F"/>
    <w:rsid w:val="00840445"/>
    <w:rsid w:val="0084332B"/>
    <w:rsid w:val="008446D3"/>
    <w:rsid w:val="008460A4"/>
    <w:rsid w:val="00846E6B"/>
    <w:rsid w:val="00846FDE"/>
    <w:rsid w:val="00850B02"/>
    <w:rsid w:val="00852592"/>
    <w:rsid w:val="00854688"/>
    <w:rsid w:val="00856FFA"/>
    <w:rsid w:val="008575FC"/>
    <w:rsid w:val="0086028F"/>
    <w:rsid w:val="00860B04"/>
    <w:rsid w:val="00862A3C"/>
    <w:rsid w:val="008633CA"/>
    <w:rsid w:val="00863D0B"/>
    <w:rsid w:val="0086467F"/>
    <w:rsid w:val="00865836"/>
    <w:rsid w:val="00866C31"/>
    <w:rsid w:val="00867637"/>
    <w:rsid w:val="00870049"/>
    <w:rsid w:val="008714EF"/>
    <w:rsid w:val="00871B00"/>
    <w:rsid w:val="00875EAB"/>
    <w:rsid w:val="008773E6"/>
    <w:rsid w:val="00883469"/>
    <w:rsid w:val="00886335"/>
    <w:rsid w:val="00886667"/>
    <w:rsid w:val="008901A6"/>
    <w:rsid w:val="00891FAF"/>
    <w:rsid w:val="008925A2"/>
    <w:rsid w:val="00893361"/>
    <w:rsid w:val="00893FA9"/>
    <w:rsid w:val="008942EE"/>
    <w:rsid w:val="0089476E"/>
    <w:rsid w:val="008950F9"/>
    <w:rsid w:val="008955E9"/>
    <w:rsid w:val="00896C6F"/>
    <w:rsid w:val="008A0475"/>
    <w:rsid w:val="008A1582"/>
    <w:rsid w:val="008A1F9D"/>
    <w:rsid w:val="008A607E"/>
    <w:rsid w:val="008B34BB"/>
    <w:rsid w:val="008B3684"/>
    <w:rsid w:val="008C1615"/>
    <w:rsid w:val="008C187A"/>
    <w:rsid w:val="008C2A75"/>
    <w:rsid w:val="008C68DC"/>
    <w:rsid w:val="008C7D0D"/>
    <w:rsid w:val="008D1CBA"/>
    <w:rsid w:val="008D1FB9"/>
    <w:rsid w:val="008D2E80"/>
    <w:rsid w:val="008D316A"/>
    <w:rsid w:val="008D3765"/>
    <w:rsid w:val="008D6318"/>
    <w:rsid w:val="008E0518"/>
    <w:rsid w:val="008E1202"/>
    <w:rsid w:val="008E1BCF"/>
    <w:rsid w:val="008E38C1"/>
    <w:rsid w:val="008E3BCA"/>
    <w:rsid w:val="008E3DC9"/>
    <w:rsid w:val="008E4954"/>
    <w:rsid w:val="008E5319"/>
    <w:rsid w:val="008E5745"/>
    <w:rsid w:val="008E58E4"/>
    <w:rsid w:val="008E5D8F"/>
    <w:rsid w:val="008E5E00"/>
    <w:rsid w:val="008F4983"/>
    <w:rsid w:val="008F534B"/>
    <w:rsid w:val="008F56F6"/>
    <w:rsid w:val="008F5FDB"/>
    <w:rsid w:val="008F731C"/>
    <w:rsid w:val="008F7629"/>
    <w:rsid w:val="009015FC"/>
    <w:rsid w:val="00903B7A"/>
    <w:rsid w:val="0090407E"/>
    <w:rsid w:val="00904D9E"/>
    <w:rsid w:val="00906767"/>
    <w:rsid w:val="0091234F"/>
    <w:rsid w:val="009165A5"/>
    <w:rsid w:val="00916911"/>
    <w:rsid w:val="009172B2"/>
    <w:rsid w:val="009202FB"/>
    <w:rsid w:val="00920C2F"/>
    <w:rsid w:val="00921069"/>
    <w:rsid w:val="00930D77"/>
    <w:rsid w:val="00933220"/>
    <w:rsid w:val="00934C6D"/>
    <w:rsid w:val="009361AA"/>
    <w:rsid w:val="00936695"/>
    <w:rsid w:val="00940AF5"/>
    <w:rsid w:val="00941C47"/>
    <w:rsid w:val="009427DB"/>
    <w:rsid w:val="0094283D"/>
    <w:rsid w:val="00943682"/>
    <w:rsid w:val="00944675"/>
    <w:rsid w:val="0094570F"/>
    <w:rsid w:val="00953B6A"/>
    <w:rsid w:val="009570AF"/>
    <w:rsid w:val="00960EA4"/>
    <w:rsid w:val="009634BC"/>
    <w:rsid w:val="0096559E"/>
    <w:rsid w:val="00967ADD"/>
    <w:rsid w:val="0097002B"/>
    <w:rsid w:val="009712DE"/>
    <w:rsid w:val="009732AB"/>
    <w:rsid w:val="0097482B"/>
    <w:rsid w:val="00974A45"/>
    <w:rsid w:val="009755EF"/>
    <w:rsid w:val="009755F2"/>
    <w:rsid w:val="009758DD"/>
    <w:rsid w:val="00977598"/>
    <w:rsid w:val="009775DE"/>
    <w:rsid w:val="00983081"/>
    <w:rsid w:val="00983D38"/>
    <w:rsid w:val="00983E74"/>
    <w:rsid w:val="00992DBA"/>
    <w:rsid w:val="00992EDF"/>
    <w:rsid w:val="00996196"/>
    <w:rsid w:val="00996701"/>
    <w:rsid w:val="00997023"/>
    <w:rsid w:val="00997406"/>
    <w:rsid w:val="009A323A"/>
    <w:rsid w:val="009A33BD"/>
    <w:rsid w:val="009A5146"/>
    <w:rsid w:val="009A62BA"/>
    <w:rsid w:val="009A69B7"/>
    <w:rsid w:val="009A760A"/>
    <w:rsid w:val="009A7A07"/>
    <w:rsid w:val="009B1EBD"/>
    <w:rsid w:val="009B3577"/>
    <w:rsid w:val="009B6891"/>
    <w:rsid w:val="009C2268"/>
    <w:rsid w:val="009C5389"/>
    <w:rsid w:val="009C60F4"/>
    <w:rsid w:val="009C6422"/>
    <w:rsid w:val="009C68EF"/>
    <w:rsid w:val="009C695D"/>
    <w:rsid w:val="009C7DD9"/>
    <w:rsid w:val="009D0B4F"/>
    <w:rsid w:val="009D0D27"/>
    <w:rsid w:val="009D1240"/>
    <w:rsid w:val="009D1628"/>
    <w:rsid w:val="009D6576"/>
    <w:rsid w:val="009D6A1E"/>
    <w:rsid w:val="009D6E9E"/>
    <w:rsid w:val="009D7980"/>
    <w:rsid w:val="009E00B5"/>
    <w:rsid w:val="009E2E0E"/>
    <w:rsid w:val="009E3A4C"/>
    <w:rsid w:val="009E62E6"/>
    <w:rsid w:val="009E7240"/>
    <w:rsid w:val="009F1C99"/>
    <w:rsid w:val="009F2B92"/>
    <w:rsid w:val="009F3A8E"/>
    <w:rsid w:val="009F6FF4"/>
    <w:rsid w:val="009F7D4B"/>
    <w:rsid w:val="00A0099A"/>
    <w:rsid w:val="00A04217"/>
    <w:rsid w:val="00A06213"/>
    <w:rsid w:val="00A0674C"/>
    <w:rsid w:val="00A06DEF"/>
    <w:rsid w:val="00A11734"/>
    <w:rsid w:val="00A15349"/>
    <w:rsid w:val="00A16839"/>
    <w:rsid w:val="00A16BC3"/>
    <w:rsid w:val="00A17AE3"/>
    <w:rsid w:val="00A17C2F"/>
    <w:rsid w:val="00A2021D"/>
    <w:rsid w:val="00A2064E"/>
    <w:rsid w:val="00A20CA9"/>
    <w:rsid w:val="00A224BE"/>
    <w:rsid w:val="00A255EA"/>
    <w:rsid w:val="00A25D76"/>
    <w:rsid w:val="00A31BD7"/>
    <w:rsid w:val="00A32668"/>
    <w:rsid w:val="00A32F93"/>
    <w:rsid w:val="00A3310F"/>
    <w:rsid w:val="00A364C2"/>
    <w:rsid w:val="00A42FCE"/>
    <w:rsid w:val="00A4322D"/>
    <w:rsid w:val="00A4377F"/>
    <w:rsid w:val="00A43D32"/>
    <w:rsid w:val="00A4505B"/>
    <w:rsid w:val="00A524CC"/>
    <w:rsid w:val="00A528C8"/>
    <w:rsid w:val="00A5334D"/>
    <w:rsid w:val="00A534E2"/>
    <w:rsid w:val="00A561C9"/>
    <w:rsid w:val="00A568EC"/>
    <w:rsid w:val="00A63CE2"/>
    <w:rsid w:val="00A65DDF"/>
    <w:rsid w:val="00A65F3D"/>
    <w:rsid w:val="00A6690C"/>
    <w:rsid w:val="00A72554"/>
    <w:rsid w:val="00A72FB6"/>
    <w:rsid w:val="00A73ADD"/>
    <w:rsid w:val="00A767D1"/>
    <w:rsid w:val="00A76AB4"/>
    <w:rsid w:val="00A80941"/>
    <w:rsid w:val="00A82272"/>
    <w:rsid w:val="00A82E01"/>
    <w:rsid w:val="00A83DA2"/>
    <w:rsid w:val="00A8629F"/>
    <w:rsid w:val="00A95634"/>
    <w:rsid w:val="00A9723D"/>
    <w:rsid w:val="00A9764A"/>
    <w:rsid w:val="00AA06C8"/>
    <w:rsid w:val="00AA48D0"/>
    <w:rsid w:val="00AA59A1"/>
    <w:rsid w:val="00AA753A"/>
    <w:rsid w:val="00AB10EE"/>
    <w:rsid w:val="00AB482F"/>
    <w:rsid w:val="00AB58C2"/>
    <w:rsid w:val="00AB5945"/>
    <w:rsid w:val="00AB68CF"/>
    <w:rsid w:val="00AB6F33"/>
    <w:rsid w:val="00AB7C7D"/>
    <w:rsid w:val="00AC07F6"/>
    <w:rsid w:val="00AC0FC5"/>
    <w:rsid w:val="00AC54BC"/>
    <w:rsid w:val="00AC6E9C"/>
    <w:rsid w:val="00AD0B6D"/>
    <w:rsid w:val="00AD0BB6"/>
    <w:rsid w:val="00AD241E"/>
    <w:rsid w:val="00AD31A8"/>
    <w:rsid w:val="00AD35CB"/>
    <w:rsid w:val="00AD4AB8"/>
    <w:rsid w:val="00AD667C"/>
    <w:rsid w:val="00AD6CA5"/>
    <w:rsid w:val="00AE2A43"/>
    <w:rsid w:val="00AE2C51"/>
    <w:rsid w:val="00AE2CDA"/>
    <w:rsid w:val="00AE38A5"/>
    <w:rsid w:val="00AE5822"/>
    <w:rsid w:val="00AE62F5"/>
    <w:rsid w:val="00AE76D1"/>
    <w:rsid w:val="00AE79DA"/>
    <w:rsid w:val="00AF0D38"/>
    <w:rsid w:val="00AF0E41"/>
    <w:rsid w:val="00AF23F6"/>
    <w:rsid w:val="00AF5C65"/>
    <w:rsid w:val="00AF6CB7"/>
    <w:rsid w:val="00B003CB"/>
    <w:rsid w:val="00B02527"/>
    <w:rsid w:val="00B030EC"/>
    <w:rsid w:val="00B05C06"/>
    <w:rsid w:val="00B05CC9"/>
    <w:rsid w:val="00B05FA1"/>
    <w:rsid w:val="00B06817"/>
    <w:rsid w:val="00B071EC"/>
    <w:rsid w:val="00B11C97"/>
    <w:rsid w:val="00B11D25"/>
    <w:rsid w:val="00B12A53"/>
    <w:rsid w:val="00B13775"/>
    <w:rsid w:val="00B13DBB"/>
    <w:rsid w:val="00B15F69"/>
    <w:rsid w:val="00B16693"/>
    <w:rsid w:val="00B1799E"/>
    <w:rsid w:val="00B20E39"/>
    <w:rsid w:val="00B250CB"/>
    <w:rsid w:val="00B25B04"/>
    <w:rsid w:val="00B25F7B"/>
    <w:rsid w:val="00B27367"/>
    <w:rsid w:val="00B30DFB"/>
    <w:rsid w:val="00B3118A"/>
    <w:rsid w:val="00B328B6"/>
    <w:rsid w:val="00B32B87"/>
    <w:rsid w:val="00B33015"/>
    <w:rsid w:val="00B34662"/>
    <w:rsid w:val="00B34D46"/>
    <w:rsid w:val="00B4150B"/>
    <w:rsid w:val="00B43A69"/>
    <w:rsid w:val="00B4451D"/>
    <w:rsid w:val="00B44A42"/>
    <w:rsid w:val="00B453CC"/>
    <w:rsid w:val="00B45C85"/>
    <w:rsid w:val="00B51290"/>
    <w:rsid w:val="00B541F2"/>
    <w:rsid w:val="00B55A6C"/>
    <w:rsid w:val="00B55BD7"/>
    <w:rsid w:val="00B56FD7"/>
    <w:rsid w:val="00B5781D"/>
    <w:rsid w:val="00B6345A"/>
    <w:rsid w:val="00B6498D"/>
    <w:rsid w:val="00B65918"/>
    <w:rsid w:val="00B66184"/>
    <w:rsid w:val="00B67FB8"/>
    <w:rsid w:val="00B70D88"/>
    <w:rsid w:val="00B730DA"/>
    <w:rsid w:val="00B73D9F"/>
    <w:rsid w:val="00B7502C"/>
    <w:rsid w:val="00B77EDB"/>
    <w:rsid w:val="00B840C0"/>
    <w:rsid w:val="00B86A31"/>
    <w:rsid w:val="00B91EEF"/>
    <w:rsid w:val="00B92A51"/>
    <w:rsid w:val="00B92B3D"/>
    <w:rsid w:val="00B95978"/>
    <w:rsid w:val="00BA0E62"/>
    <w:rsid w:val="00BA1113"/>
    <w:rsid w:val="00BA3D19"/>
    <w:rsid w:val="00BA593B"/>
    <w:rsid w:val="00BA6505"/>
    <w:rsid w:val="00BA776D"/>
    <w:rsid w:val="00BB13AB"/>
    <w:rsid w:val="00BB2288"/>
    <w:rsid w:val="00BB2B45"/>
    <w:rsid w:val="00BB5349"/>
    <w:rsid w:val="00BB6499"/>
    <w:rsid w:val="00BB6DD8"/>
    <w:rsid w:val="00BB7081"/>
    <w:rsid w:val="00BC071C"/>
    <w:rsid w:val="00BC0786"/>
    <w:rsid w:val="00BC08E6"/>
    <w:rsid w:val="00BC2369"/>
    <w:rsid w:val="00BC6ABE"/>
    <w:rsid w:val="00BC6E29"/>
    <w:rsid w:val="00BC7190"/>
    <w:rsid w:val="00BC7464"/>
    <w:rsid w:val="00BD0260"/>
    <w:rsid w:val="00BD18EF"/>
    <w:rsid w:val="00BD2536"/>
    <w:rsid w:val="00BD2569"/>
    <w:rsid w:val="00BD4C89"/>
    <w:rsid w:val="00BD5310"/>
    <w:rsid w:val="00BD61A0"/>
    <w:rsid w:val="00BD71D0"/>
    <w:rsid w:val="00BD754B"/>
    <w:rsid w:val="00BD7F66"/>
    <w:rsid w:val="00BE05C0"/>
    <w:rsid w:val="00BE07AD"/>
    <w:rsid w:val="00BE4811"/>
    <w:rsid w:val="00BE4B6A"/>
    <w:rsid w:val="00BE55FF"/>
    <w:rsid w:val="00BE6287"/>
    <w:rsid w:val="00BE6920"/>
    <w:rsid w:val="00BE6FBA"/>
    <w:rsid w:val="00BF2070"/>
    <w:rsid w:val="00BF25D4"/>
    <w:rsid w:val="00BF31FC"/>
    <w:rsid w:val="00BF3B25"/>
    <w:rsid w:val="00BF510B"/>
    <w:rsid w:val="00BF65F5"/>
    <w:rsid w:val="00BF6FD3"/>
    <w:rsid w:val="00BF7AAB"/>
    <w:rsid w:val="00C00F7B"/>
    <w:rsid w:val="00C013AB"/>
    <w:rsid w:val="00C01CC0"/>
    <w:rsid w:val="00C02EE1"/>
    <w:rsid w:val="00C038F9"/>
    <w:rsid w:val="00C04777"/>
    <w:rsid w:val="00C0563B"/>
    <w:rsid w:val="00C05760"/>
    <w:rsid w:val="00C06406"/>
    <w:rsid w:val="00C1318B"/>
    <w:rsid w:val="00C14011"/>
    <w:rsid w:val="00C15F79"/>
    <w:rsid w:val="00C175E1"/>
    <w:rsid w:val="00C17969"/>
    <w:rsid w:val="00C21B51"/>
    <w:rsid w:val="00C23F3B"/>
    <w:rsid w:val="00C241E3"/>
    <w:rsid w:val="00C25C65"/>
    <w:rsid w:val="00C26525"/>
    <w:rsid w:val="00C368C0"/>
    <w:rsid w:val="00C373A2"/>
    <w:rsid w:val="00C43013"/>
    <w:rsid w:val="00C450D0"/>
    <w:rsid w:val="00C45E6F"/>
    <w:rsid w:val="00C52EFF"/>
    <w:rsid w:val="00C552F6"/>
    <w:rsid w:val="00C5561D"/>
    <w:rsid w:val="00C55B84"/>
    <w:rsid w:val="00C55EFF"/>
    <w:rsid w:val="00C57C3F"/>
    <w:rsid w:val="00C601AE"/>
    <w:rsid w:val="00C61703"/>
    <w:rsid w:val="00C61954"/>
    <w:rsid w:val="00C62123"/>
    <w:rsid w:val="00C621E0"/>
    <w:rsid w:val="00C629FF"/>
    <w:rsid w:val="00C631BE"/>
    <w:rsid w:val="00C70F51"/>
    <w:rsid w:val="00C73296"/>
    <w:rsid w:val="00C75DC0"/>
    <w:rsid w:val="00C763A3"/>
    <w:rsid w:val="00C76B2B"/>
    <w:rsid w:val="00C84E76"/>
    <w:rsid w:val="00C85BDC"/>
    <w:rsid w:val="00C86841"/>
    <w:rsid w:val="00C94ABE"/>
    <w:rsid w:val="00C95C51"/>
    <w:rsid w:val="00C96218"/>
    <w:rsid w:val="00C97221"/>
    <w:rsid w:val="00CA027B"/>
    <w:rsid w:val="00CA0972"/>
    <w:rsid w:val="00CA1161"/>
    <w:rsid w:val="00CA155D"/>
    <w:rsid w:val="00CA260F"/>
    <w:rsid w:val="00CA3024"/>
    <w:rsid w:val="00CA74E4"/>
    <w:rsid w:val="00CB11D3"/>
    <w:rsid w:val="00CB1486"/>
    <w:rsid w:val="00CB22F7"/>
    <w:rsid w:val="00CB3ABB"/>
    <w:rsid w:val="00CB5943"/>
    <w:rsid w:val="00CB7518"/>
    <w:rsid w:val="00CB775B"/>
    <w:rsid w:val="00CC2644"/>
    <w:rsid w:val="00CC4207"/>
    <w:rsid w:val="00CD01FE"/>
    <w:rsid w:val="00CD1B12"/>
    <w:rsid w:val="00CD2ADA"/>
    <w:rsid w:val="00CD38CC"/>
    <w:rsid w:val="00CD4A9A"/>
    <w:rsid w:val="00CD52A5"/>
    <w:rsid w:val="00CE0A3C"/>
    <w:rsid w:val="00CE29DC"/>
    <w:rsid w:val="00CE4DDE"/>
    <w:rsid w:val="00CE55C7"/>
    <w:rsid w:val="00CF0AE3"/>
    <w:rsid w:val="00CF277F"/>
    <w:rsid w:val="00CF34D4"/>
    <w:rsid w:val="00CF360F"/>
    <w:rsid w:val="00CF36FF"/>
    <w:rsid w:val="00CF472A"/>
    <w:rsid w:val="00CF5FC7"/>
    <w:rsid w:val="00D03010"/>
    <w:rsid w:val="00D03F12"/>
    <w:rsid w:val="00D04955"/>
    <w:rsid w:val="00D06235"/>
    <w:rsid w:val="00D07C80"/>
    <w:rsid w:val="00D07F47"/>
    <w:rsid w:val="00D1212C"/>
    <w:rsid w:val="00D14A12"/>
    <w:rsid w:val="00D15991"/>
    <w:rsid w:val="00D15F34"/>
    <w:rsid w:val="00D1614B"/>
    <w:rsid w:val="00D20114"/>
    <w:rsid w:val="00D20869"/>
    <w:rsid w:val="00D20E8E"/>
    <w:rsid w:val="00D222F5"/>
    <w:rsid w:val="00D2310B"/>
    <w:rsid w:val="00D276C9"/>
    <w:rsid w:val="00D27A8B"/>
    <w:rsid w:val="00D3020E"/>
    <w:rsid w:val="00D305BB"/>
    <w:rsid w:val="00D30971"/>
    <w:rsid w:val="00D30C71"/>
    <w:rsid w:val="00D30C93"/>
    <w:rsid w:val="00D32165"/>
    <w:rsid w:val="00D32212"/>
    <w:rsid w:val="00D35841"/>
    <w:rsid w:val="00D35879"/>
    <w:rsid w:val="00D35A79"/>
    <w:rsid w:val="00D36972"/>
    <w:rsid w:val="00D4226C"/>
    <w:rsid w:val="00D45526"/>
    <w:rsid w:val="00D45930"/>
    <w:rsid w:val="00D4762B"/>
    <w:rsid w:val="00D501A5"/>
    <w:rsid w:val="00D5238D"/>
    <w:rsid w:val="00D53E65"/>
    <w:rsid w:val="00D55A88"/>
    <w:rsid w:val="00D606CE"/>
    <w:rsid w:val="00D6212B"/>
    <w:rsid w:val="00D63C97"/>
    <w:rsid w:val="00D6719F"/>
    <w:rsid w:val="00D6772B"/>
    <w:rsid w:val="00D67A3D"/>
    <w:rsid w:val="00D70EB1"/>
    <w:rsid w:val="00D72637"/>
    <w:rsid w:val="00D74CF9"/>
    <w:rsid w:val="00D75167"/>
    <w:rsid w:val="00D762EE"/>
    <w:rsid w:val="00D82B91"/>
    <w:rsid w:val="00D84559"/>
    <w:rsid w:val="00D8456A"/>
    <w:rsid w:val="00D84D0E"/>
    <w:rsid w:val="00D85461"/>
    <w:rsid w:val="00D85C29"/>
    <w:rsid w:val="00D85F9E"/>
    <w:rsid w:val="00D901C1"/>
    <w:rsid w:val="00D91C7B"/>
    <w:rsid w:val="00D91EF6"/>
    <w:rsid w:val="00D946B0"/>
    <w:rsid w:val="00D94E77"/>
    <w:rsid w:val="00D962F8"/>
    <w:rsid w:val="00D966FA"/>
    <w:rsid w:val="00D9758F"/>
    <w:rsid w:val="00DA1D5A"/>
    <w:rsid w:val="00DA3182"/>
    <w:rsid w:val="00DA39A4"/>
    <w:rsid w:val="00DA39C8"/>
    <w:rsid w:val="00DA499D"/>
    <w:rsid w:val="00DA51DA"/>
    <w:rsid w:val="00DA6BAE"/>
    <w:rsid w:val="00DA7E29"/>
    <w:rsid w:val="00DB1652"/>
    <w:rsid w:val="00DB757A"/>
    <w:rsid w:val="00DC1BF6"/>
    <w:rsid w:val="00DC1F8A"/>
    <w:rsid w:val="00DC6881"/>
    <w:rsid w:val="00DD14D6"/>
    <w:rsid w:val="00DD2F64"/>
    <w:rsid w:val="00DD3E18"/>
    <w:rsid w:val="00DD59DF"/>
    <w:rsid w:val="00DD5F23"/>
    <w:rsid w:val="00DE0748"/>
    <w:rsid w:val="00DE0990"/>
    <w:rsid w:val="00DE19E1"/>
    <w:rsid w:val="00DE3D0E"/>
    <w:rsid w:val="00DE44F0"/>
    <w:rsid w:val="00DE557A"/>
    <w:rsid w:val="00DF2599"/>
    <w:rsid w:val="00DF3FF8"/>
    <w:rsid w:val="00DF465A"/>
    <w:rsid w:val="00DF5371"/>
    <w:rsid w:val="00DF5516"/>
    <w:rsid w:val="00DF56B2"/>
    <w:rsid w:val="00DF5E2A"/>
    <w:rsid w:val="00E02219"/>
    <w:rsid w:val="00E074D5"/>
    <w:rsid w:val="00E10797"/>
    <w:rsid w:val="00E10805"/>
    <w:rsid w:val="00E1152D"/>
    <w:rsid w:val="00E152A0"/>
    <w:rsid w:val="00E20DC5"/>
    <w:rsid w:val="00E21305"/>
    <w:rsid w:val="00E21967"/>
    <w:rsid w:val="00E26099"/>
    <w:rsid w:val="00E26E6B"/>
    <w:rsid w:val="00E31047"/>
    <w:rsid w:val="00E3119D"/>
    <w:rsid w:val="00E320D5"/>
    <w:rsid w:val="00E35985"/>
    <w:rsid w:val="00E3612E"/>
    <w:rsid w:val="00E369C3"/>
    <w:rsid w:val="00E37FEE"/>
    <w:rsid w:val="00E408C8"/>
    <w:rsid w:val="00E444D8"/>
    <w:rsid w:val="00E44ACA"/>
    <w:rsid w:val="00E4532C"/>
    <w:rsid w:val="00E514B3"/>
    <w:rsid w:val="00E519F3"/>
    <w:rsid w:val="00E51D40"/>
    <w:rsid w:val="00E525FA"/>
    <w:rsid w:val="00E5314A"/>
    <w:rsid w:val="00E53FCA"/>
    <w:rsid w:val="00E54559"/>
    <w:rsid w:val="00E54935"/>
    <w:rsid w:val="00E56F9C"/>
    <w:rsid w:val="00E61076"/>
    <w:rsid w:val="00E61B5C"/>
    <w:rsid w:val="00E6222C"/>
    <w:rsid w:val="00E62A0D"/>
    <w:rsid w:val="00E631F9"/>
    <w:rsid w:val="00E65B92"/>
    <w:rsid w:val="00E666A1"/>
    <w:rsid w:val="00E6687C"/>
    <w:rsid w:val="00E70550"/>
    <w:rsid w:val="00E7196B"/>
    <w:rsid w:val="00E74963"/>
    <w:rsid w:val="00E75D47"/>
    <w:rsid w:val="00E829B9"/>
    <w:rsid w:val="00E830A8"/>
    <w:rsid w:val="00E83B8C"/>
    <w:rsid w:val="00E875F9"/>
    <w:rsid w:val="00E87D5D"/>
    <w:rsid w:val="00E92B5F"/>
    <w:rsid w:val="00E938A0"/>
    <w:rsid w:val="00E93E27"/>
    <w:rsid w:val="00E96959"/>
    <w:rsid w:val="00EA1CD9"/>
    <w:rsid w:val="00EA5969"/>
    <w:rsid w:val="00EA633A"/>
    <w:rsid w:val="00EB032A"/>
    <w:rsid w:val="00EB33C6"/>
    <w:rsid w:val="00EB42FD"/>
    <w:rsid w:val="00EB4335"/>
    <w:rsid w:val="00EB4583"/>
    <w:rsid w:val="00EB4591"/>
    <w:rsid w:val="00EB4E2E"/>
    <w:rsid w:val="00EB55D3"/>
    <w:rsid w:val="00EB6F12"/>
    <w:rsid w:val="00EB736D"/>
    <w:rsid w:val="00EB757A"/>
    <w:rsid w:val="00EC4F74"/>
    <w:rsid w:val="00EC579A"/>
    <w:rsid w:val="00EC695D"/>
    <w:rsid w:val="00EC75CD"/>
    <w:rsid w:val="00EC7BB4"/>
    <w:rsid w:val="00ED0243"/>
    <w:rsid w:val="00ED110B"/>
    <w:rsid w:val="00ED3BC9"/>
    <w:rsid w:val="00ED5E35"/>
    <w:rsid w:val="00EE0591"/>
    <w:rsid w:val="00EE25CE"/>
    <w:rsid w:val="00EE2A95"/>
    <w:rsid w:val="00EE3555"/>
    <w:rsid w:val="00EE4199"/>
    <w:rsid w:val="00EE4E3D"/>
    <w:rsid w:val="00EE4ECA"/>
    <w:rsid w:val="00EE7AFE"/>
    <w:rsid w:val="00EF079C"/>
    <w:rsid w:val="00EF0B54"/>
    <w:rsid w:val="00EF15D4"/>
    <w:rsid w:val="00EF21C7"/>
    <w:rsid w:val="00EF3921"/>
    <w:rsid w:val="00EF58CE"/>
    <w:rsid w:val="00EF6D39"/>
    <w:rsid w:val="00F020DB"/>
    <w:rsid w:val="00F02229"/>
    <w:rsid w:val="00F0453B"/>
    <w:rsid w:val="00F05ADB"/>
    <w:rsid w:val="00F05B39"/>
    <w:rsid w:val="00F10BD0"/>
    <w:rsid w:val="00F13612"/>
    <w:rsid w:val="00F147D1"/>
    <w:rsid w:val="00F15518"/>
    <w:rsid w:val="00F21D04"/>
    <w:rsid w:val="00F225DC"/>
    <w:rsid w:val="00F230F3"/>
    <w:rsid w:val="00F2355C"/>
    <w:rsid w:val="00F2465C"/>
    <w:rsid w:val="00F2485E"/>
    <w:rsid w:val="00F27C85"/>
    <w:rsid w:val="00F310B3"/>
    <w:rsid w:val="00F3199D"/>
    <w:rsid w:val="00F348FC"/>
    <w:rsid w:val="00F35228"/>
    <w:rsid w:val="00F368ED"/>
    <w:rsid w:val="00F37600"/>
    <w:rsid w:val="00F40087"/>
    <w:rsid w:val="00F41C8D"/>
    <w:rsid w:val="00F4297D"/>
    <w:rsid w:val="00F44161"/>
    <w:rsid w:val="00F46953"/>
    <w:rsid w:val="00F52D0A"/>
    <w:rsid w:val="00F542B2"/>
    <w:rsid w:val="00F543F4"/>
    <w:rsid w:val="00F5728E"/>
    <w:rsid w:val="00F64009"/>
    <w:rsid w:val="00F641B7"/>
    <w:rsid w:val="00F659C3"/>
    <w:rsid w:val="00F65A8E"/>
    <w:rsid w:val="00F66C64"/>
    <w:rsid w:val="00F710DA"/>
    <w:rsid w:val="00F80030"/>
    <w:rsid w:val="00F81E69"/>
    <w:rsid w:val="00F8210B"/>
    <w:rsid w:val="00F83B34"/>
    <w:rsid w:val="00F84B75"/>
    <w:rsid w:val="00F8682C"/>
    <w:rsid w:val="00F868C8"/>
    <w:rsid w:val="00F8727D"/>
    <w:rsid w:val="00F87A79"/>
    <w:rsid w:val="00F92A15"/>
    <w:rsid w:val="00F93014"/>
    <w:rsid w:val="00F93649"/>
    <w:rsid w:val="00F95A45"/>
    <w:rsid w:val="00F96190"/>
    <w:rsid w:val="00F9790A"/>
    <w:rsid w:val="00F97D5A"/>
    <w:rsid w:val="00FA16D6"/>
    <w:rsid w:val="00FA3BD5"/>
    <w:rsid w:val="00FA404C"/>
    <w:rsid w:val="00FA5B11"/>
    <w:rsid w:val="00FB08E4"/>
    <w:rsid w:val="00FB1B2C"/>
    <w:rsid w:val="00FB25E8"/>
    <w:rsid w:val="00FB2B89"/>
    <w:rsid w:val="00FB4164"/>
    <w:rsid w:val="00FB5D6E"/>
    <w:rsid w:val="00FC0B3A"/>
    <w:rsid w:val="00FC35A4"/>
    <w:rsid w:val="00FC3FEA"/>
    <w:rsid w:val="00FC5802"/>
    <w:rsid w:val="00FD0428"/>
    <w:rsid w:val="00FD1D13"/>
    <w:rsid w:val="00FD1E4D"/>
    <w:rsid w:val="00FD38B0"/>
    <w:rsid w:val="00FD4387"/>
    <w:rsid w:val="00FD4E41"/>
    <w:rsid w:val="00FD680F"/>
    <w:rsid w:val="00FE0528"/>
    <w:rsid w:val="00FE162D"/>
    <w:rsid w:val="00FE7489"/>
    <w:rsid w:val="00FF0126"/>
    <w:rsid w:val="00FF0888"/>
    <w:rsid w:val="00FF0CD9"/>
    <w:rsid w:val="00FF15BE"/>
    <w:rsid w:val="00FF442E"/>
    <w:rsid w:val="00FF576B"/>
    <w:rsid w:val="00FF7120"/>
    <w:rsid w:val="016753D9"/>
    <w:rsid w:val="018207C5"/>
    <w:rsid w:val="01984942"/>
    <w:rsid w:val="01A90DE0"/>
    <w:rsid w:val="020411DA"/>
    <w:rsid w:val="0249082A"/>
    <w:rsid w:val="02895B83"/>
    <w:rsid w:val="02EB1712"/>
    <w:rsid w:val="03125B78"/>
    <w:rsid w:val="031B33C7"/>
    <w:rsid w:val="03750951"/>
    <w:rsid w:val="03885275"/>
    <w:rsid w:val="03912F41"/>
    <w:rsid w:val="039D480F"/>
    <w:rsid w:val="03B15391"/>
    <w:rsid w:val="03C7020B"/>
    <w:rsid w:val="03CB4AE5"/>
    <w:rsid w:val="041435C6"/>
    <w:rsid w:val="04374CFD"/>
    <w:rsid w:val="045A580F"/>
    <w:rsid w:val="047D25CD"/>
    <w:rsid w:val="04931533"/>
    <w:rsid w:val="049D76C3"/>
    <w:rsid w:val="04BD57E0"/>
    <w:rsid w:val="04C41E74"/>
    <w:rsid w:val="04FD6BB6"/>
    <w:rsid w:val="05297DA9"/>
    <w:rsid w:val="05660D4E"/>
    <w:rsid w:val="05880855"/>
    <w:rsid w:val="05A61B58"/>
    <w:rsid w:val="05BD766B"/>
    <w:rsid w:val="05D45367"/>
    <w:rsid w:val="05E740E9"/>
    <w:rsid w:val="05F6326D"/>
    <w:rsid w:val="05FA3F41"/>
    <w:rsid w:val="067350E1"/>
    <w:rsid w:val="06862B05"/>
    <w:rsid w:val="06952E89"/>
    <w:rsid w:val="06A32359"/>
    <w:rsid w:val="06B036DE"/>
    <w:rsid w:val="06C453DB"/>
    <w:rsid w:val="06D40D99"/>
    <w:rsid w:val="06DE04AD"/>
    <w:rsid w:val="06E1298F"/>
    <w:rsid w:val="070A7B8C"/>
    <w:rsid w:val="0714287C"/>
    <w:rsid w:val="07697D52"/>
    <w:rsid w:val="077A365D"/>
    <w:rsid w:val="077D07F8"/>
    <w:rsid w:val="07F13FAE"/>
    <w:rsid w:val="082E104A"/>
    <w:rsid w:val="085E0D59"/>
    <w:rsid w:val="08865F15"/>
    <w:rsid w:val="08B80A3D"/>
    <w:rsid w:val="09264308"/>
    <w:rsid w:val="095B6036"/>
    <w:rsid w:val="096710FF"/>
    <w:rsid w:val="098F4D22"/>
    <w:rsid w:val="09964525"/>
    <w:rsid w:val="09B568B3"/>
    <w:rsid w:val="09B637B7"/>
    <w:rsid w:val="09E86FDA"/>
    <w:rsid w:val="09F20B18"/>
    <w:rsid w:val="0A011928"/>
    <w:rsid w:val="0A2832DD"/>
    <w:rsid w:val="0A2C7E98"/>
    <w:rsid w:val="0A6C2012"/>
    <w:rsid w:val="0AB84564"/>
    <w:rsid w:val="0ACB06CD"/>
    <w:rsid w:val="0ACE52A9"/>
    <w:rsid w:val="0B39193E"/>
    <w:rsid w:val="0B793DA3"/>
    <w:rsid w:val="0B7A06F4"/>
    <w:rsid w:val="0BA7190E"/>
    <w:rsid w:val="0BAD57BA"/>
    <w:rsid w:val="0BCA0E4C"/>
    <w:rsid w:val="0BE21364"/>
    <w:rsid w:val="0C126DC0"/>
    <w:rsid w:val="0C1A784C"/>
    <w:rsid w:val="0C233988"/>
    <w:rsid w:val="0C2C00F9"/>
    <w:rsid w:val="0C373EB3"/>
    <w:rsid w:val="0CC63A25"/>
    <w:rsid w:val="0CEE2F4F"/>
    <w:rsid w:val="0D0E0A44"/>
    <w:rsid w:val="0D3337FB"/>
    <w:rsid w:val="0D401BA7"/>
    <w:rsid w:val="0D636DD5"/>
    <w:rsid w:val="0D686886"/>
    <w:rsid w:val="0D6F5924"/>
    <w:rsid w:val="0D6F7C12"/>
    <w:rsid w:val="0DBD4B61"/>
    <w:rsid w:val="0DC30FFE"/>
    <w:rsid w:val="0DCC1FBE"/>
    <w:rsid w:val="0DFD278B"/>
    <w:rsid w:val="0E091CA7"/>
    <w:rsid w:val="0E340CB9"/>
    <w:rsid w:val="0E5D76B5"/>
    <w:rsid w:val="0E7E4B97"/>
    <w:rsid w:val="0EF42913"/>
    <w:rsid w:val="0EFE5203"/>
    <w:rsid w:val="0F107022"/>
    <w:rsid w:val="0F2F0063"/>
    <w:rsid w:val="0F3C1FDA"/>
    <w:rsid w:val="0FB82CB9"/>
    <w:rsid w:val="0FC05FDF"/>
    <w:rsid w:val="0FD71E7F"/>
    <w:rsid w:val="0FEB7E49"/>
    <w:rsid w:val="105078A5"/>
    <w:rsid w:val="10684B7B"/>
    <w:rsid w:val="10725343"/>
    <w:rsid w:val="10735FDB"/>
    <w:rsid w:val="11345723"/>
    <w:rsid w:val="11412B44"/>
    <w:rsid w:val="11833F44"/>
    <w:rsid w:val="118A7471"/>
    <w:rsid w:val="11BD3153"/>
    <w:rsid w:val="11C1779F"/>
    <w:rsid w:val="11D76721"/>
    <w:rsid w:val="11D930C2"/>
    <w:rsid w:val="11E8085A"/>
    <w:rsid w:val="11F21BB5"/>
    <w:rsid w:val="12326F89"/>
    <w:rsid w:val="12543E59"/>
    <w:rsid w:val="127B1D75"/>
    <w:rsid w:val="128C1D85"/>
    <w:rsid w:val="12C22A90"/>
    <w:rsid w:val="12D03D9E"/>
    <w:rsid w:val="12D87D3B"/>
    <w:rsid w:val="12DB12E1"/>
    <w:rsid w:val="13044B35"/>
    <w:rsid w:val="132F71F4"/>
    <w:rsid w:val="13312A29"/>
    <w:rsid w:val="138C428C"/>
    <w:rsid w:val="13C748A0"/>
    <w:rsid w:val="13E13F42"/>
    <w:rsid w:val="14487FF1"/>
    <w:rsid w:val="145E183A"/>
    <w:rsid w:val="1473602F"/>
    <w:rsid w:val="14B70244"/>
    <w:rsid w:val="14C667C2"/>
    <w:rsid w:val="14F47E8E"/>
    <w:rsid w:val="15190FE8"/>
    <w:rsid w:val="15201C6C"/>
    <w:rsid w:val="15284D87"/>
    <w:rsid w:val="15745406"/>
    <w:rsid w:val="159E329B"/>
    <w:rsid w:val="15B26A28"/>
    <w:rsid w:val="15C727F2"/>
    <w:rsid w:val="162421F2"/>
    <w:rsid w:val="166C640B"/>
    <w:rsid w:val="1677735A"/>
    <w:rsid w:val="168B7CC4"/>
    <w:rsid w:val="169B31EF"/>
    <w:rsid w:val="16A82624"/>
    <w:rsid w:val="16D5395C"/>
    <w:rsid w:val="16DD6793"/>
    <w:rsid w:val="16F60882"/>
    <w:rsid w:val="17032FBF"/>
    <w:rsid w:val="172A128B"/>
    <w:rsid w:val="17355CA4"/>
    <w:rsid w:val="174B60D2"/>
    <w:rsid w:val="17513F9D"/>
    <w:rsid w:val="17522084"/>
    <w:rsid w:val="1756358A"/>
    <w:rsid w:val="177C6CE6"/>
    <w:rsid w:val="17AD6E81"/>
    <w:rsid w:val="17BD7E6E"/>
    <w:rsid w:val="17C0399D"/>
    <w:rsid w:val="17D15CD5"/>
    <w:rsid w:val="17E10DC8"/>
    <w:rsid w:val="17E54BD0"/>
    <w:rsid w:val="181E5439"/>
    <w:rsid w:val="18344B26"/>
    <w:rsid w:val="18420856"/>
    <w:rsid w:val="188745D3"/>
    <w:rsid w:val="188A280E"/>
    <w:rsid w:val="188B4C80"/>
    <w:rsid w:val="18A50714"/>
    <w:rsid w:val="18E671CD"/>
    <w:rsid w:val="18E83C6F"/>
    <w:rsid w:val="18F32B58"/>
    <w:rsid w:val="190544B8"/>
    <w:rsid w:val="19327134"/>
    <w:rsid w:val="19503625"/>
    <w:rsid w:val="196C4DAF"/>
    <w:rsid w:val="19B47531"/>
    <w:rsid w:val="19BC43AA"/>
    <w:rsid w:val="19EF43ED"/>
    <w:rsid w:val="19F37F56"/>
    <w:rsid w:val="1A1369FA"/>
    <w:rsid w:val="1A2D7105"/>
    <w:rsid w:val="1A2D750A"/>
    <w:rsid w:val="1A544545"/>
    <w:rsid w:val="1A946F88"/>
    <w:rsid w:val="1A9E69A4"/>
    <w:rsid w:val="1AC9287D"/>
    <w:rsid w:val="1AF57145"/>
    <w:rsid w:val="1B022820"/>
    <w:rsid w:val="1B42010F"/>
    <w:rsid w:val="1B4C2852"/>
    <w:rsid w:val="1BDB2B53"/>
    <w:rsid w:val="1C0E4CDC"/>
    <w:rsid w:val="1C33687F"/>
    <w:rsid w:val="1C677113"/>
    <w:rsid w:val="1C6C5D0E"/>
    <w:rsid w:val="1C973E8E"/>
    <w:rsid w:val="1CD5285E"/>
    <w:rsid w:val="1CE533A0"/>
    <w:rsid w:val="1CFE627C"/>
    <w:rsid w:val="1D177410"/>
    <w:rsid w:val="1D290B67"/>
    <w:rsid w:val="1D7D6550"/>
    <w:rsid w:val="1D8728D3"/>
    <w:rsid w:val="1D8F35F8"/>
    <w:rsid w:val="1D901073"/>
    <w:rsid w:val="1DA84113"/>
    <w:rsid w:val="1DB35FB9"/>
    <w:rsid w:val="1DED4BCD"/>
    <w:rsid w:val="1DFB067A"/>
    <w:rsid w:val="1E0277EE"/>
    <w:rsid w:val="1E543091"/>
    <w:rsid w:val="1F02489B"/>
    <w:rsid w:val="1F0D5019"/>
    <w:rsid w:val="1F500230"/>
    <w:rsid w:val="1F503858"/>
    <w:rsid w:val="1F795EC2"/>
    <w:rsid w:val="1FB453DE"/>
    <w:rsid w:val="1FD405FF"/>
    <w:rsid w:val="1FD46AEE"/>
    <w:rsid w:val="1FFB1E5C"/>
    <w:rsid w:val="202A73B8"/>
    <w:rsid w:val="2060577D"/>
    <w:rsid w:val="206F13CE"/>
    <w:rsid w:val="207E38C7"/>
    <w:rsid w:val="208A6D6C"/>
    <w:rsid w:val="20951AEF"/>
    <w:rsid w:val="20AC2D10"/>
    <w:rsid w:val="20B147CB"/>
    <w:rsid w:val="20B25C5F"/>
    <w:rsid w:val="20C305B3"/>
    <w:rsid w:val="20C85F7D"/>
    <w:rsid w:val="20D936CB"/>
    <w:rsid w:val="210144A1"/>
    <w:rsid w:val="21154A67"/>
    <w:rsid w:val="21307616"/>
    <w:rsid w:val="214F3502"/>
    <w:rsid w:val="21B82D85"/>
    <w:rsid w:val="21EE72A9"/>
    <w:rsid w:val="221A6A29"/>
    <w:rsid w:val="22284365"/>
    <w:rsid w:val="22522D70"/>
    <w:rsid w:val="225A465F"/>
    <w:rsid w:val="226E6690"/>
    <w:rsid w:val="227F524D"/>
    <w:rsid w:val="228D02D6"/>
    <w:rsid w:val="229303EE"/>
    <w:rsid w:val="22981590"/>
    <w:rsid w:val="22E42C35"/>
    <w:rsid w:val="23112F9B"/>
    <w:rsid w:val="2319608D"/>
    <w:rsid w:val="235B765C"/>
    <w:rsid w:val="23710456"/>
    <w:rsid w:val="23AB7406"/>
    <w:rsid w:val="23E044E0"/>
    <w:rsid w:val="23F62714"/>
    <w:rsid w:val="241B2225"/>
    <w:rsid w:val="2428513D"/>
    <w:rsid w:val="24400E3D"/>
    <w:rsid w:val="2460453E"/>
    <w:rsid w:val="24793057"/>
    <w:rsid w:val="24FE5B87"/>
    <w:rsid w:val="253F78AF"/>
    <w:rsid w:val="25442044"/>
    <w:rsid w:val="254554E2"/>
    <w:rsid w:val="254B1E75"/>
    <w:rsid w:val="255506E3"/>
    <w:rsid w:val="259B35D4"/>
    <w:rsid w:val="25AB6E2A"/>
    <w:rsid w:val="25CC308B"/>
    <w:rsid w:val="25D91797"/>
    <w:rsid w:val="269C6F51"/>
    <w:rsid w:val="26BD0B22"/>
    <w:rsid w:val="26C86149"/>
    <w:rsid w:val="27043D8E"/>
    <w:rsid w:val="27206206"/>
    <w:rsid w:val="273013FA"/>
    <w:rsid w:val="27315F56"/>
    <w:rsid w:val="273740AB"/>
    <w:rsid w:val="2740175F"/>
    <w:rsid w:val="27653C19"/>
    <w:rsid w:val="278D7577"/>
    <w:rsid w:val="27A108DA"/>
    <w:rsid w:val="27A25045"/>
    <w:rsid w:val="27D101F5"/>
    <w:rsid w:val="27DF1370"/>
    <w:rsid w:val="2802236C"/>
    <w:rsid w:val="28234CC1"/>
    <w:rsid w:val="28257CF6"/>
    <w:rsid w:val="283A442E"/>
    <w:rsid w:val="284356C3"/>
    <w:rsid w:val="28455410"/>
    <w:rsid w:val="28A808E8"/>
    <w:rsid w:val="28CE04EF"/>
    <w:rsid w:val="28CE4156"/>
    <w:rsid w:val="28D02E31"/>
    <w:rsid w:val="28E94E0B"/>
    <w:rsid w:val="28FE2B26"/>
    <w:rsid w:val="29022032"/>
    <w:rsid w:val="29370A2F"/>
    <w:rsid w:val="2944442E"/>
    <w:rsid w:val="297634E0"/>
    <w:rsid w:val="29770418"/>
    <w:rsid w:val="29CC4423"/>
    <w:rsid w:val="29E603A8"/>
    <w:rsid w:val="29FD7939"/>
    <w:rsid w:val="2A88763C"/>
    <w:rsid w:val="2AB90504"/>
    <w:rsid w:val="2ABA0CFD"/>
    <w:rsid w:val="2AC7717E"/>
    <w:rsid w:val="2B092CBB"/>
    <w:rsid w:val="2B106072"/>
    <w:rsid w:val="2B115961"/>
    <w:rsid w:val="2B6670FF"/>
    <w:rsid w:val="2B8E7BB7"/>
    <w:rsid w:val="2BAE5EDC"/>
    <w:rsid w:val="2BB9558E"/>
    <w:rsid w:val="2BE95145"/>
    <w:rsid w:val="2C516929"/>
    <w:rsid w:val="2C647E97"/>
    <w:rsid w:val="2C970719"/>
    <w:rsid w:val="2C9F66A2"/>
    <w:rsid w:val="2CFA17D4"/>
    <w:rsid w:val="2D021892"/>
    <w:rsid w:val="2D125F2E"/>
    <w:rsid w:val="2D1D6AA6"/>
    <w:rsid w:val="2D6F2200"/>
    <w:rsid w:val="2D722674"/>
    <w:rsid w:val="2D816F78"/>
    <w:rsid w:val="2DE77D66"/>
    <w:rsid w:val="2DF427F2"/>
    <w:rsid w:val="2DFF1AF9"/>
    <w:rsid w:val="2E027E69"/>
    <w:rsid w:val="2E245FD9"/>
    <w:rsid w:val="2E507898"/>
    <w:rsid w:val="2E524CDC"/>
    <w:rsid w:val="2EBF210D"/>
    <w:rsid w:val="2EC11008"/>
    <w:rsid w:val="2EE43FBD"/>
    <w:rsid w:val="2EF21799"/>
    <w:rsid w:val="2EF85BBE"/>
    <w:rsid w:val="2F182DAC"/>
    <w:rsid w:val="2F2252C9"/>
    <w:rsid w:val="2F4878D9"/>
    <w:rsid w:val="2F886128"/>
    <w:rsid w:val="2FB27C17"/>
    <w:rsid w:val="2FD04D5A"/>
    <w:rsid w:val="300C35FE"/>
    <w:rsid w:val="30431052"/>
    <w:rsid w:val="304C4631"/>
    <w:rsid w:val="307C5A2E"/>
    <w:rsid w:val="30AD5A2C"/>
    <w:rsid w:val="30EE67DF"/>
    <w:rsid w:val="30FE5354"/>
    <w:rsid w:val="3145563F"/>
    <w:rsid w:val="315B411B"/>
    <w:rsid w:val="315E0C8F"/>
    <w:rsid w:val="317A52DF"/>
    <w:rsid w:val="31E05065"/>
    <w:rsid w:val="31FE3C0D"/>
    <w:rsid w:val="32231B6D"/>
    <w:rsid w:val="32753800"/>
    <w:rsid w:val="3282337A"/>
    <w:rsid w:val="32B57462"/>
    <w:rsid w:val="32BB0863"/>
    <w:rsid w:val="32CA18DB"/>
    <w:rsid w:val="32CC47B2"/>
    <w:rsid w:val="32CC6878"/>
    <w:rsid w:val="32E50CF2"/>
    <w:rsid w:val="331F3816"/>
    <w:rsid w:val="33752B5C"/>
    <w:rsid w:val="337E4788"/>
    <w:rsid w:val="33AE02C2"/>
    <w:rsid w:val="33DB44AA"/>
    <w:rsid w:val="340F3B81"/>
    <w:rsid w:val="34171D16"/>
    <w:rsid w:val="342B3172"/>
    <w:rsid w:val="34362BC5"/>
    <w:rsid w:val="343D7033"/>
    <w:rsid w:val="34833930"/>
    <w:rsid w:val="34A16C15"/>
    <w:rsid w:val="34D81ECE"/>
    <w:rsid w:val="34FD36E3"/>
    <w:rsid w:val="35027DFF"/>
    <w:rsid w:val="350B39EE"/>
    <w:rsid w:val="352F570E"/>
    <w:rsid w:val="35312878"/>
    <w:rsid w:val="353148AA"/>
    <w:rsid w:val="35752F78"/>
    <w:rsid w:val="35805EF2"/>
    <w:rsid w:val="35942299"/>
    <w:rsid w:val="35AE0014"/>
    <w:rsid w:val="35DF0B77"/>
    <w:rsid w:val="362A7FF2"/>
    <w:rsid w:val="36445BAC"/>
    <w:rsid w:val="36E8445F"/>
    <w:rsid w:val="36F15E9E"/>
    <w:rsid w:val="372C0BD3"/>
    <w:rsid w:val="374B57E5"/>
    <w:rsid w:val="375E36A1"/>
    <w:rsid w:val="37727EE3"/>
    <w:rsid w:val="37825B7D"/>
    <w:rsid w:val="37857D36"/>
    <w:rsid w:val="37A507A1"/>
    <w:rsid w:val="37AA54E6"/>
    <w:rsid w:val="37AD67DE"/>
    <w:rsid w:val="37EB1F18"/>
    <w:rsid w:val="37F94C0B"/>
    <w:rsid w:val="37FA45D8"/>
    <w:rsid w:val="380340A3"/>
    <w:rsid w:val="38242A50"/>
    <w:rsid w:val="38252180"/>
    <w:rsid w:val="38496099"/>
    <w:rsid w:val="38591578"/>
    <w:rsid w:val="38680395"/>
    <w:rsid w:val="386A5533"/>
    <w:rsid w:val="38947359"/>
    <w:rsid w:val="38B15AA8"/>
    <w:rsid w:val="38C62B7B"/>
    <w:rsid w:val="38D512F0"/>
    <w:rsid w:val="38F0399E"/>
    <w:rsid w:val="38F03EA1"/>
    <w:rsid w:val="39144F7F"/>
    <w:rsid w:val="39150975"/>
    <w:rsid w:val="392159E7"/>
    <w:rsid w:val="394559FF"/>
    <w:rsid w:val="394A4DFF"/>
    <w:rsid w:val="395B0E70"/>
    <w:rsid w:val="399843B2"/>
    <w:rsid w:val="399B5030"/>
    <w:rsid w:val="39CC297D"/>
    <w:rsid w:val="39E45687"/>
    <w:rsid w:val="3A0E6217"/>
    <w:rsid w:val="3A25379E"/>
    <w:rsid w:val="3A71633D"/>
    <w:rsid w:val="3A8913AD"/>
    <w:rsid w:val="3AA12D62"/>
    <w:rsid w:val="3AA82B40"/>
    <w:rsid w:val="3AB63491"/>
    <w:rsid w:val="3AB94E96"/>
    <w:rsid w:val="3ADF5CC4"/>
    <w:rsid w:val="3B4826C5"/>
    <w:rsid w:val="3B701D2F"/>
    <w:rsid w:val="3B7E4F60"/>
    <w:rsid w:val="3BD32AD0"/>
    <w:rsid w:val="3BD33B05"/>
    <w:rsid w:val="3C0D06AF"/>
    <w:rsid w:val="3C5D1BB7"/>
    <w:rsid w:val="3C6169F8"/>
    <w:rsid w:val="3C6B2AA7"/>
    <w:rsid w:val="3C756B48"/>
    <w:rsid w:val="3CC857D6"/>
    <w:rsid w:val="3CD523C7"/>
    <w:rsid w:val="3CEF69C7"/>
    <w:rsid w:val="3CF8261D"/>
    <w:rsid w:val="3D2A6EE9"/>
    <w:rsid w:val="3D3E7E9E"/>
    <w:rsid w:val="3D6624F7"/>
    <w:rsid w:val="3D7306C3"/>
    <w:rsid w:val="3D7753A5"/>
    <w:rsid w:val="3DC95711"/>
    <w:rsid w:val="3DD42E58"/>
    <w:rsid w:val="3DDC1B5E"/>
    <w:rsid w:val="3DEE01F5"/>
    <w:rsid w:val="3DF15DAF"/>
    <w:rsid w:val="3DFA2118"/>
    <w:rsid w:val="3E0135E6"/>
    <w:rsid w:val="3E014F60"/>
    <w:rsid w:val="3E283829"/>
    <w:rsid w:val="3E3A1504"/>
    <w:rsid w:val="3E3D0F49"/>
    <w:rsid w:val="3E455692"/>
    <w:rsid w:val="3E7861DD"/>
    <w:rsid w:val="3EA32B5B"/>
    <w:rsid w:val="3EA93190"/>
    <w:rsid w:val="3ECE118D"/>
    <w:rsid w:val="3F0B0E28"/>
    <w:rsid w:val="3F203B28"/>
    <w:rsid w:val="3FA16554"/>
    <w:rsid w:val="3FB71054"/>
    <w:rsid w:val="403A795B"/>
    <w:rsid w:val="406B4684"/>
    <w:rsid w:val="408B160A"/>
    <w:rsid w:val="40E11687"/>
    <w:rsid w:val="40E60691"/>
    <w:rsid w:val="40F472E9"/>
    <w:rsid w:val="41011681"/>
    <w:rsid w:val="413915D0"/>
    <w:rsid w:val="41992849"/>
    <w:rsid w:val="41A63759"/>
    <w:rsid w:val="41AE3688"/>
    <w:rsid w:val="41B81E4C"/>
    <w:rsid w:val="41CF1EF3"/>
    <w:rsid w:val="41D36D78"/>
    <w:rsid w:val="41F179C2"/>
    <w:rsid w:val="41F95185"/>
    <w:rsid w:val="42146698"/>
    <w:rsid w:val="425B3A5F"/>
    <w:rsid w:val="42605BC7"/>
    <w:rsid w:val="42D8777A"/>
    <w:rsid w:val="430C0775"/>
    <w:rsid w:val="436872C2"/>
    <w:rsid w:val="437473DB"/>
    <w:rsid w:val="43786697"/>
    <w:rsid w:val="439161AC"/>
    <w:rsid w:val="43972953"/>
    <w:rsid w:val="439B574C"/>
    <w:rsid w:val="439E00A5"/>
    <w:rsid w:val="43AD51D7"/>
    <w:rsid w:val="43BC3CFE"/>
    <w:rsid w:val="43E15CBA"/>
    <w:rsid w:val="4410719C"/>
    <w:rsid w:val="4436624E"/>
    <w:rsid w:val="44586BC5"/>
    <w:rsid w:val="44957B8C"/>
    <w:rsid w:val="449753BF"/>
    <w:rsid w:val="449826A9"/>
    <w:rsid w:val="44BD2F6A"/>
    <w:rsid w:val="44E20F3E"/>
    <w:rsid w:val="45151586"/>
    <w:rsid w:val="452C76C8"/>
    <w:rsid w:val="462705C0"/>
    <w:rsid w:val="467F03FC"/>
    <w:rsid w:val="46A9191C"/>
    <w:rsid w:val="46BE7E38"/>
    <w:rsid w:val="46D87E1F"/>
    <w:rsid w:val="471721B4"/>
    <w:rsid w:val="47616B6E"/>
    <w:rsid w:val="476364F8"/>
    <w:rsid w:val="47810408"/>
    <w:rsid w:val="47A227B8"/>
    <w:rsid w:val="47A9108B"/>
    <w:rsid w:val="47B259C1"/>
    <w:rsid w:val="47C017CC"/>
    <w:rsid w:val="48482CE0"/>
    <w:rsid w:val="48733B07"/>
    <w:rsid w:val="487A0D0E"/>
    <w:rsid w:val="487C04D9"/>
    <w:rsid w:val="488C5052"/>
    <w:rsid w:val="48A24875"/>
    <w:rsid w:val="48E14D8B"/>
    <w:rsid w:val="48F822E0"/>
    <w:rsid w:val="48FF58F7"/>
    <w:rsid w:val="492F2BD3"/>
    <w:rsid w:val="49552169"/>
    <w:rsid w:val="49981E6C"/>
    <w:rsid w:val="49C1515D"/>
    <w:rsid w:val="49EA1274"/>
    <w:rsid w:val="4A8D0FD7"/>
    <w:rsid w:val="4A9177E0"/>
    <w:rsid w:val="4AA746FB"/>
    <w:rsid w:val="4AC40C32"/>
    <w:rsid w:val="4B110291"/>
    <w:rsid w:val="4B1B2181"/>
    <w:rsid w:val="4B330BAA"/>
    <w:rsid w:val="4B797B0F"/>
    <w:rsid w:val="4BE22BED"/>
    <w:rsid w:val="4BEC7AFC"/>
    <w:rsid w:val="4C0A4F0A"/>
    <w:rsid w:val="4C313B96"/>
    <w:rsid w:val="4C37742A"/>
    <w:rsid w:val="4C666C14"/>
    <w:rsid w:val="4C8B5BC6"/>
    <w:rsid w:val="4CEB6AF2"/>
    <w:rsid w:val="4D08520D"/>
    <w:rsid w:val="4D224868"/>
    <w:rsid w:val="4D3716AC"/>
    <w:rsid w:val="4D421A10"/>
    <w:rsid w:val="4D515160"/>
    <w:rsid w:val="4DA64989"/>
    <w:rsid w:val="4DB040AA"/>
    <w:rsid w:val="4DB25CF4"/>
    <w:rsid w:val="4DE13ECE"/>
    <w:rsid w:val="4DE96284"/>
    <w:rsid w:val="4DF3347D"/>
    <w:rsid w:val="4DF73658"/>
    <w:rsid w:val="4E015B9A"/>
    <w:rsid w:val="4E090253"/>
    <w:rsid w:val="4E1A050C"/>
    <w:rsid w:val="4E1E70DB"/>
    <w:rsid w:val="4E286664"/>
    <w:rsid w:val="4E82072D"/>
    <w:rsid w:val="4E9F7C2F"/>
    <w:rsid w:val="4EB12F8C"/>
    <w:rsid w:val="4EE04B9E"/>
    <w:rsid w:val="4EF53E0A"/>
    <w:rsid w:val="4F1F2795"/>
    <w:rsid w:val="4F812CDD"/>
    <w:rsid w:val="4FD221F1"/>
    <w:rsid w:val="4FF168A5"/>
    <w:rsid w:val="502334CC"/>
    <w:rsid w:val="50374840"/>
    <w:rsid w:val="50827D2A"/>
    <w:rsid w:val="50CF7F30"/>
    <w:rsid w:val="50DB2533"/>
    <w:rsid w:val="51037E7B"/>
    <w:rsid w:val="510850A0"/>
    <w:rsid w:val="514F7B77"/>
    <w:rsid w:val="51542485"/>
    <w:rsid w:val="515712CE"/>
    <w:rsid w:val="516B2979"/>
    <w:rsid w:val="51A33998"/>
    <w:rsid w:val="51A56401"/>
    <w:rsid w:val="51B30411"/>
    <w:rsid w:val="51D84818"/>
    <w:rsid w:val="51E462DD"/>
    <w:rsid w:val="52005BEC"/>
    <w:rsid w:val="526B5CD8"/>
    <w:rsid w:val="52896FA9"/>
    <w:rsid w:val="52946A1A"/>
    <w:rsid w:val="529F5FFD"/>
    <w:rsid w:val="529F6B09"/>
    <w:rsid w:val="52A9047A"/>
    <w:rsid w:val="52C61CF9"/>
    <w:rsid w:val="52CE123E"/>
    <w:rsid w:val="530A00BF"/>
    <w:rsid w:val="53107DFC"/>
    <w:rsid w:val="533C64CE"/>
    <w:rsid w:val="53445B1B"/>
    <w:rsid w:val="534B44FA"/>
    <w:rsid w:val="535D446A"/>
    <w:rsid w:val="53786A90"/>
    <w:rsid w:val="537F6478"/>
    <w:rsid w:val="53E70E38"/>
    <w:rsid w:val="54285E64"/>
    <w:rsid w:val="54443FA5"/>
    <w:rsid w:val="5449248C"/>
    <w:rsid w:val="544A191C"/>
    <w:rsid w:val="545F1399"/>
    <w:rsid w:val="54641824"/>
    <w:rsid w:val="54764A8A"/>
    <w:rsid w:val="54911B66"/>
    <w:rsid w:val="54BB2AE0"/>
    <w:rsid w:val="54D9225F"/>
    <w:rsid w:val="5505308B"/>
    <w:rsid w:val="55344429"/>
    <w:rsid w:val="555A5F3E"/>
    <w:rsid w:val="558D0739"/>
    <w:rsid w:val="55A665CC"/>
    <w:rsid w:val="55AF05D2"/>
    <w:rsid w:val="55AF3BFF"/>
    <w:rsid w:val="55C24E86"/>
    <w:rsid w:val="55C26D44"/>
    <w:rsid w:val="55E1789A"/>
    <w:rsid w:val="55FA3344"/>
    <w:rsid w:val="56027D90"/>
    <w:rsid w:val="560465C6"/>
    <w:rsid w:val="560A0D92"/>
    <w:rsid w:val="561E35CC"/>
    <w:rsid w:val="56504B81"/>
    <w:rsid w:val="56674A08"/>
    <w:rsid w:val="567F62A4"/>
    <w:rsid w:val="568D23F1"/>
    <w:rsid w:val="56B6577C"/>
    <w:rsid w:val="56BA0077"/>
    <w:rsid w:val="56D863AA"/>
    <w:rsid w:val="56DB553C"/>
    <w:rsid w:val="56EF068E"/>
    <w:rsid w:val="56EF6932"/>
    <w:rsid w:val="5716798A"/>
    <w:rsid w:val="57167D37"/>
    <w:rsid w:val="571E1782"/>
    <w:rsid w:val="57BC0BB4"/>
    <w:rsid w:val="581046DC"/>
    <w:rsid w:val="582A755B"/>
    <w:rsid w:val="582D4475"/>
    <w:rsid w:val="5839439F"/>
    <w:rsid w:val="5839631B"/>
    <w:rsid w:val="584536C6"/>
    <w:rsid w:val="590D09C6"/>
    <w:rsid w:val="59367B9B"/>
    <w:rsid w:val="595038E9"/>
    <w:rsid w:val="5991178A"/>
    <w:rsid w:val="59A10300"/>
    <w:rsid w:val="59C5321E"/>
    <w:rsid w:val="59F11799"/>
    <w:rsid w:val="5A1018EA"/>
    <w:rsid w:val="5A2E4B76"/>
    <w:rsid w:val="5A427977"/>
    <w:rsid w:val="5A5F6122"/>
    <w:rsid w:val="5A982A45"/>
    <w:rsid w:val="5AAC3492"/>
    <w:rsid w:val="5AB81CD6"/>
    <w:rsid w:val="5ABD79E3"/>
    <w:rsid w:val="5ABF475B"/>
    <w:rsid w:val="5AC92E9D"/>
    <w:rsid w:val="5AFB082A"/>
    <w:rsid w:val="5B402CA3"/>
    <w:rsid w:val="5B7C4AB2"/>
    <w:rsid w:val="5B7E6A7C"/>
    <w:rsid w:val="5BA10A42"/>
    <w:rsid w:val="5BC773CA"/>
    <w:rsid w:val="5BF820B8"/>
    <w:rsid w:val="5CB0535B"/>
    <w:rsid w:val="5CC74453"/>
    <w:rsid w:val="5CDA2A7B"/>
    <w:rsid w:val="5D070D46"/>
    <w:rsid w:val="5D095246"/>
    <w:rsid w:val="5D521F6E"/>
    <w:rsid w:val="5D5A160B"/>
    <w:rsid w:val="5D9B3F62"/>
    <w:rsid w:val="5DA00BDB"/>
    <w:rsid w:val="5DAC2053"/>
    <w:rsid w:val="5DDE7679"/>
    <w:rsid w:val="5DE60761"/>
    <w:rsid w:val="5DFD34BF"/>
    <w:rsid w:val="5E04586D"/>
    <w:rsid w:val="5E386B49"/>
    <w:rsid w:val="5E556488"/>
    <w:rsid w:val="5EA762EA"/>
    <w:rsid w:val="5EB97316"/>
    <w:rsid w:val="5EC10020"/>
    <w:rsid w:val="5ED5446C"/>
    <w:rsid w:val="5F024436"/>
    <w:rsid w:val="5F293DFA"/>
    <w:rsid w:val="5F49399A"/>
    <w:rsid w:val="5F532FFF"/>
    <w:rsid w:val="5F996A18"/>
    <w:rsid w:val="5FB010E6"/>
    <w:rsid w:val="5FBD50B6"/>
    <w:rsid w:val="5FD020E9"/>
    <w:rsid w:val="5FD0425A"/>
    <w:rsid w:val="60244194"/>
    <w:rsid w:val="6039187D"/>
    <w:rsid w:val="6060792C"/>
    <w:rsid w:val="607611FD"/>
    <w:rsid w:val="60E90308"/>
    <w:rsid w:val="6140773E"/>
    <w:rsid w:val="61985186"/>
    <w:rsid w:val="61C91E51"/>
    <w:rsid w:val="61CD335B"/>
    <w:rsid w:val="61CF5BEF"/>
    <w:rsid w:val="61DF3FED"/>
    <w:rsid w:val="61ED0FF9"/>
    <w:rsid w:val="627E55B4"/>
    <w:rsid w:val="629848C7"/>
    <w:rsid w:val="629E552C"/>
    <w:rsid w:val="62DD4049"/>
    <w:rsid w:val="62F43064"/>
    <w:rsid w:val="62F93153"/>
    <w:rsid w:val="630927BF"/>
    <w:rsid w:val="631416F0"/>
    <w:rsid w:val="6316284A"/>
    <w:rsid w:val="63631810"/>
    <w:rsid w:val="636C5D87"/>
    <w:rsid w:val="63AB32A7"/>
    <w:rsid w:val="640C54B0"/>
    <w:rsid w:val="64304FF8"/>
    <w:rsid w:val="64723861"/>
    <w:rsid w:val="648A64F2"/>
    <w:rsid w:val="64A51287"/>
    <w:rsid w:val="64B21544"/>
    <w:rsid w:val="64CC0858"/>
    <w:rsid w:val="64F8133D"/>
    <w:rsid w:val="65175D24"/>
    <w:rsid w:val="65480B61"/>
    <w:rsid w:val="654B56AC"/>
    <w:rsid w:val="65506471"/>
    <w:rsid w:val="655304C9"/>
    <w:rsid w:val="65833E71"/>
    <w:rsid w:val="65B512EC"/>
    <w:rsid w:val="65D521FE"/>
    <w:rsid w:val="660A5009"/>
    <w:rsid w:val="662414A5"/>
    <w:rsid w:val="66485EF1"/>
    <w:rsid w:val="6672057D"/>
    <w:rsid w:val="66C65C58"/>
    <w:rsid w:val="670342D9"/>
    <w:rsid w:val="6716736C"/>
    <w:rsid w:val="67217F74"/>
    <w:rsid w:val="67397CFB"/>
    <w:rsid w:val="674C349B"/>
    <w:rsid w:val="674F0EEB"/>
    <w:rsid w:val="676D4DFE"/>
    <w:rsid w:val="67780823"/>
    <w:rsid w:val="67801BFA"/>
    <w:rsid w:val="678200DD"/>
    <w:rsid w:val="67A07A10"/>
    <w:rsid w:val="67A96C2F"/>
    <w:rsid w:val="67AB3629"/>
    <w:rsid w:val="67AC79F0"/>
    <w:rsid w:val="67B32D26"/>
    <w:rsid w:val="67CE5693"/>
    <w:rsid w:val="67D2447D"/>
    <w:rsid w:val="680B78E9"/>
    <w:rsid w:val="68151FAC"/>
    <w:rsid w:val="68523A17"/>
    <w:rsid w:val="68597432"/>
    <w:rsid w:val="68736231"/>
    <w:rsid w:val="689639E5"/>
    <w:rsid w:val="68CD22AE"/>
    <w:rsid w:val="69073A9E"/>
    <w:rsid w:val="694851CC"/>
    <w:rsid w:val="6957740F"/>
    <w:rsid w:val="69715E72"/>
    <w:rsid w:val="69825306"/>
    <w:rsid w:val="69852668"/>
    <w:rsid w:val="699168F2"/>
    <w:rsid w:val="69960B36"/>
    <w:rsid w:val="6A2C534C"/>
    <w:rsid w:val="6A3F5D73"/>
    <w:rsid w:val="6A707C88"/>
    <w:rsid w:val="6A7904D4"/>
    <w:rsid w:val="6A940CEF"/>
    <w:rsid w:val="6A9C5EEA"/>
    <w:rsid w:val="6A9F1EF9"/>
    <w:rsid w:val="6AAC5C88"/>
    <w:rsid w:val="6AC35CC3"/>
    <w:rsid w:val="6AC95471"/>
    <w:rsid w:val="6B112B52"/>
    <w:rsid w:val="6B6474CD"/>
    <w:rsid w:val="6BA60FCD"/>
    <w:rsid w:val="6BBB427A"/>
    <w:rsid w:val="6BCD14E0"/>
    <w:rsid w:val="6BD10E4A"/>
    <w:rsid w:val="6BD50414"/>
    <w:rsid w:val="6BEB21DB"/>
    <w:rsid w:val="6C054A1A"/>
    <w:rsid w:val="6C083CDC"/>
    <w:rsid w:val="6C662E8B"/>
    <w:rsid w:val="6CB15F71"/>
    <w:rsid w:val="6CB52DA9"/>
    <w:rsid w:val="6CBD034B"/>
    <w:rsid w:val="6CC91B21"/>
    <w:rsid w:val="6D1420E4"/>
    <w:rsid w:val="6D166B6D"/>
    <w:rsid w:val="6D543C26"/>
    <w:rsid w:val="6D744B9D"/>
    <w:rsid w:val="6D78499E"/>
    <w:rsid w:val="6D847518"/>
    <w:rsid w:val="6D9523C0"/>
    <w:rsid w:val="6DC64BD9"/>
    <w:rsid w:val="6DD3502A"/>
    <w:rsid w:val="6DF50874"/>
    <w:rsid w:val="6E115D95"/>
    <w:rsid w:val="6E210557"/>
    <w:rsid w:val="6E5B39FA"/>
    <w:rsid w:val="6E62679B"/>
    <w:rsid w:val="6EA42EF5"/>
    <w:rsid w:val="6ED80A86"/>
    <w:rsid w:val="6ED96693"/>
    <w:rsid w:val="6EE63E62"/>
    <w:rsid w:val="6EF235B1"/>
    <w:rsid w:val="6EF54EF2"/>
    <w:rsid w:val="6F4669B3"/>
    <w:rsid w:val="6F5328E3"/>
    <w:rsid w:val="6F900781"/>
    <w:rsid w:val="6FB470FD"/>
    <w:rsid w:val="6FEA3E9A"/>
    <w:rsid w:val="6FF10085"/>
    <w:rsid w:val="70025A76"/>
    <w:rsid w:val="70334C37"/>
    <w:rsid w:val="703A5210"/>
    <w:rsid w:val="70604A9A"/>
    <w:rsid w:val="70797228"/>
    <w:rsid w:val="707C54B8"/>
    <w:rsid w:val="70A55711"/>
    <w:rsid w:val="70B026A0"/>
    <w:rsid w:val="70E909E4"/>
    <w:rsid w:val="71472A48"/>
    <w:rsid w:val="71535E5D"/>
    <w:rsid w:val="716F4248"/>
    <w:rsid w:val="71996357"/>
    <w:rsid w:val="71CE676C"/>
    <w:rsid w:val="71FF0A62"/>
    <w:rsid w:val="721E3727"/>
    <w:rsid w:val="72593850"/>
    <w:rsid w:val="729F16E9"/>
    <w:rsid w:val="72A264B9"/>
    <w:rsid w:val="72BA6194"/>
    <w:rsid w:val="72DB7C75"/>
    <w:rsid w:val="73005E8B"/>
    <w:rsid w:val="732921E9"/>
    <w:rsid w:val="734F5C80"/>
    <w:rsid w:val="73684430"/>
    <w:rsid w:val="73C21691"/>
    <w:rsid w:val="74130AA2"/>
    <w:rsid w:val="74210BD5"/>
    <w:rsid w:val="74340FBE"/>
    <w:rsid w:val="74351E2A"/>
    <w:rsid w:val="74490FA7"/>
    <w:rsid w:val="747F3106"/>
    <w:rsid w:val="74AD2933"/>
    <w:rsid w:val="74C6558A"/>
    <w:rsid w:val="75025DAA"/>
    <w:rsid w:val="7521699E"/>
    <w:rsid w:val="752E4C17"/>
    <w:rsid w:val="753A707F"/>
    <w:rsid w:val="75576187"/>
    <w:rsid w:val="75BC6401"/>
    <w:rsid w:val="75D74E80"/>
    <w:rsid w:val="75F367D5"/>
    <w:rsid w:val="76230332"/>
    <w:rsid w:val="763A548A"/>
    <w:rsid w:val="763F56CE"/>
    <w:rsid w:val="76A03646"/>
    <w:rsid w:val="76A916CF"/>
    <w:rsid w:val="770676D7"/>
    <w:rsid w:val="77197C16"/>
    <w:rsid w:val="77452403"/>
    <w:rsid w:val="7786623C"/>
    <w:rsid w:val="77913847"/>
    <w:rsid w:val="779B0746"/>
    <w:rsid w:val="77D31C23"/>
    <w:rsid w:val="77F8279A"/>
    <w:rsid w:val="780604DD"/>
    <w:rsid w:val="78217531"/>
    <w:rsid w:val="783C589D"/>
    <w:rsid w:val="784737A7"/>
    <w:rsid w:val="785C55B6"/>
    <w:rsid w:val="7887272C"/>
    <w:rsid w:val="78A01483"/>
    <w:rsid w:val="78A80FCF"/>
    <w:rsid w:val="78BE26EF"/>
    <w:rsid w:val="78DA5F96"/>
    <w:rsid w:val="78E421BD"/>
    <w:rsid w:val="79295643"/>
    <w:rsid w:val="792C4665"/>
    <w:rsid w:val="795606C6"/>
    <w:rsid w:val="7962139D"/>
    <w:rsid w:val="79653D5C"/>
    <w:rsid w:val="7974126B"/>
    <w:rsid w:val="79941735"/>
    <w:rsid w:val="799745AF"/>
    <w:rsid w:val="79B36FD8"/>
    <w:rsid w:val="79B9410B"/>
    <w:rsid w:val="79E44FAE"/>
    <w:rsid w:val="7A035633"/>
    <w:rsid w:val="7A0C6729"/>
    <w:rsid w:val="7A113A2C"/>
    <w:rsid w:val="7A4108A1"/>
    <w:rsid w:val="7A4263E2"/>
    <w:rsid w:val="7A490F7F"/>
    <w:rsid w:val="7A517991"/>
    <w:rsid w:val="7A6B7A21"/>
    <w:rsid w:val="7AAF26C2"/>
    <w:rsid w:val="7AB96FBB"/>
    <w:rsid w:val="7ADC2C98"/>
    <w:rsid w:val="7AF86DBB"/>
    <w:rsid w:val="7B07093E"/>
    <w:rsid w:val="7B456178"/>
    <w:rsid w:val="7B4805AB"/>
    <w:rsid w:val="7B4B7C29"/>
    <w:rsid w:val="7B51165F"/>
    <w:rsid w:val="7B711DDB"/>
    <w:rsid w:val="7B81203D"/>
    <w:rsid w:val="7B8A3655"/>
    <w:rsid w:val="7B8B60C4"/>
    <w:rsid w:val="7B9854E0"/>
    <w:rsid w:val="7BB964F2"/>
    <w:rsid w:val="7BCF4A3D"/>
    <w:rsid w:val="7BCF6ABB"/>
    <w:rsid w:val="7BF07693"/>
    <w:rsid w:val="7BF32717"/>
    <w:rsid w:val="7C044C27"/>
    <w:rsid w:val="7C0A1319"/>
    <w:rsid w:val="7C7B41A7"/>
    <w:rsid w:val="7C8A4AB6"/>
    <w:rsid w:val="7C950C7B"/>
    <w:rsid w:val="7CAD07BE"/>
    <w:rsid w:val="7D042F25"/>
    <w:rsid w:val="7D482722"/>
    <w:rsid w:val="7D5864E3"/>
    <w:rsid w:val="7D7F7BBD"/>
    <w:rsid w:val="7D807C28"/>
    <w:rsid w:val="7D9B3066"/>
    <w:rsid w:val="7DC20B94"/>
    <w:rsid w:val="7DDF52BE"/>
    <w:rsid w:val="7DE25FE7"/>
    <w:rsid w:val="7DF96C22"/>
    <w:rsid w:val="7E006353"/>
    <w:rsid w:val="7E06021A"/>
    <w:rsid w:val="7E1375F6"/>
    <w:rsid w:val="7E22337C"/>
    <w:rsid w:val="7E2E1261"/>
    <w:rsid w:val="7E3D001C"/>
    <w:rsid w:val="7E447259"/>
    <w:rsid w:val="7E712E38"/>
    <w:rsid w:val="7E956815"/>
    <w:rsid w:val="7EB275F1"/>
    <w:rsid w:val="7ED16FC5"/>
    <w:rsid w:val="7F1907BC"/>
    <w:rsid w:val="7F2504E0"/>
    <w:rsid w:val="7F33060C"/>
    <w:rsid w:val="7F40240E"/>
    <w:rsid w:val="7F6121A3"/>
    <w:rsid w:val="7F8024D8"/>
    <w:rsid w:val="7F83165B"/>
    <w:rsid w:val="7F9F797B"/>
    <w:rsid w:val="7FA8688C"/>
    <w:rsid w:val="7FAE500B"/>
    <w:rsid w:val="BDFE5DE4"/>
    <w:rsid w:val="DECB12CF"/>
    <w:rsid w:val="DF2F5402"/>
    <w:rsid w:val="F7FE5FE3"/>
    <w:rsid w:val="FFBD9D40"/>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name="toc 1"/>
    <w:lsdException w:qFormat="1" w:unhideWhenUsed="0" w:uiPriority="0" w:name="toc 2"/>
    <w:lsdException w:qFormat="1" w:unhideWhenUsed="0" w:uiPriority="0" w:semiHidden="0" w:name="toc 3" w:locked="1"/>
    <w:lsdException w:qFormat="1" w:unhideWhenUsed="0" w:uiPriority="0" w:semiHidden="0" w:name="toc 4" w:locked="1"/>
    <w:lsdException w:qFormat="1" w:unhideWhenUsed="0" w:uiPriority="0" w:semiHidden="0" w:name="toc 5" w:locked="1"/>
    <w:lsdException w:qFormat="1" w:unhideWhenUsed="0" w:uiPriority="0" w:semiHidden="0" w:name="toc 6" w:locked="1"/>
    <w:lsdException w:qFormat="1" w:unhideWhenUsed="0" w:uiPriority="0" w:semiHidden="0" w:name="toc 7" w:locked="1"/>
    <w:lsdException w:qFormat="1" w:unhideWhenUsed="0" w:uiPriority="0" w:semiHidden="0" w:name="toc 8" w:locked="1"/>
    <w:lsdException w:qFormat="1" w:unhideWhenUsed="0" w:uiPriority="0" w:semiHidden="0" w:name="toc 9" w:locked="1"/>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semiHidden="0" w:name="caption" w:locked="1"/>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ocked="1"/>
    <w:lsdException w:qFormat="1" w:unhideWhenUsed="0" w:uiPriority="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qFormat="1" w:unhideWhenUsed="0" w:uiPriority="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pacing w:line="360" w:lineRule="auto"/>
      <w:jc w:val="both"/>
    </w:pPr>
    <w:rPr>
      <w:rFonts w:ascii="Times New Roman" w:hAnsi="Times New Roman" w:eastAsia="宋体" w:cs="Times New Roman"/>
      <w:kern w:val="2"/>
      <w:sz w:val="21"/>
      <w:szCs w:val="21"/>
      <w:lang w:val="en-US" w:eastAsia="zh-CN" w:bidi="ar-SA"/>
    </w:rPr>
  </w:style>
  <w:style w:type="paragraph" w:styleId="4">
    <w:name w:val="heading 1"/>
    <w:basedOn w:val="1"/>
    <w:next w:val="1"/>
    <w:link w:val="42"/>
    <w:qFormat/>
    <w:uiPriority w:val="0"/>
    <w:pPr>
      <w:keepNext/>
      <w:keepLines/>
      <w:spacing w:before="340" w:after="330"/>
      <w:jc w:val="center"/>
      <w:outlineLvl w:val="0"/>
    </w:pPr>
    <w:rPr>
      <w:rFonts w:eastAsia="黑体"/>
      <w:kern w:val="44"/>
      <w:sz w:val="28"/>
      <w:szCs w:val="28"/>
    </w:rPr>
  </w:style>
  <w:style w:type="paragraph" w:styleId="5">
    <w:name w:val="heading 2"/>
    <w:basedOn w:val="1"/>
    <w:next w:val="1"/>
    <w:link w:val="43"/>
    <w:qFormat/>
    <w:uiPriority w:val="0"/>
    <w:pPr>
      <w:keepNext/>
      <w:keepLines/>
      <w:spacing w:beforeLines="100" w:afterLines="100"/>
      <w:jc w:val="center"/>
      <w:outlineLvl w:val="1"/>
    </w:pPr>
    <w:rPr>
      <w:rFonts w:eastAsia="黑体"/>
      <w:sz w:val="24"/>
      <w:szCs w:val="24"/>
    </w:rPr>
  </w:style>
  <w:style w:type="paragraph" w:styleId="6">
    <w:name w:val="heading 3"/>
    <w:basedOn w:val="1"/>
    <w:next w:val="1"/>
    <w:link w:val="44"/>
    <w:qFormat/>
    <w:locked/>
    <w:uiPriority w:val="0"/>
    <w:pPr>
      <w:keepNext/>
      <w:keepLines/>
      <w:spacing w:before="260" w:after="260" w:line="416" w:lineRule="auto"/>
      <w:outlineLvl w:val="2"/>
    </w:pPr>
    <w:rPr>
      <w:b/>
      <w:bCs/>
      <w:sz w:val="32"/>
      <w:szCs w:val="32"/>
    </w:rPr>
  </w:style>
  <w:style w:type="paragraph" w:styleId="7">
    <w:name w:val="heading 4"/>
    <w:basedOn w:val="1"/>
    <w:next w:val="1"/>
    <w:link w:val="45"/>
    <w:qFormat/>
    <w:locked/>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46"/>
    <w:qFormat/>
    <w:locked/>
    <w:uiPriority w:val="0"/>
    <w:pPr>
      <w:keepNext/>
      <w:keepLines/>
      <w:spacing w:before="280" w:after="290" w:line="376" w:lineRule="auto"/>
      <w:outlineLvl w:val="4"/>
    </w:pPr>
    <w:rPr>
      <w:b/>
      <w:bCs/>
      <w:sz w:val="28"/>
      <w:szCs w:val="28"/>
    </w:rPr>
  </w:style>
  <w:style w:type="character" w:default="1" w:styleId="36">
    <w:name w:val="Default Paragraph Font"/>
    <w:semiHidden/>
    <w:qFormat/>
    <w:uiPriority w:val="0"/>
  </w:style>
  <w:style w:type="table" w:default="1" w:styleId="34">
    <w:name w:val="Normal Table"/>
    <w:semiHidden/>
    <w:qFormat/>
    <w:uiPriority w:val="0"/>
    <w:tblPr>
      <w:tblCellMar>
        <w:top w:w="0" w:type="dxa"/>
        <w:left w:w="108" w:type="dxa"/>
        <w:bottom w:w="0" w:type="dxa"/>
        <w:right w:w="108" w:type="dxa"/>
      </w:tblCellMar>
    </w:tblPr>
  </w:style>
  <w:style w:type="paragraph" w:styleId="2">
    <w:name w:val="Body Text First Indent 2"/>
    <w:basedOn w:val="3"/>
    <w:qFormat/>
    <w:uiPriority w:val="0"/>
    <w:pPr>
      <w:tabs>
        <w:tab w:val="left" w:pos="5220"/>
      </w:tabs>
      <w:ind w:firstLine="420" w:firstLineChars="200"/>
    </w:pPr>
  </w:style>
  <w:style w:type="paragraph" w:styleId="3">
    <w:name w:val="Body Text Indent"/>
    <w:basedOn w:val="1"/>
    <w:next w:val="1"/>
    <w:qFormat/>
    <w:uiPriority w:val="0"/>
    <w:pPr>
      <w:ind w:firstLine="420" w:firstLineChars="200"/>
    </w:pPr>
    <w:rPr>
      <w:rFonts w:ascii="宋体" w:hAnsi="宋体"/>
      <w:szCs w:val="20"/>
    </w:rPr>
  </w:style>
  <w:style w:type="paragraph" w:styleId="9">
    <w:name w:val="toc 7"/>
    <w:basedOn w:val="1"/>
    <w:next w:val="1"/>
    <w:qFormat/>
    <w:locked/>
    <w:uiPriority w:val="0"/>
    <w:pPr>
      <w:ind w:left="2520" w:leftChars="1200"/>
    </w:pPr>
  </w:style>
  <w:style w:type="paragraph" w:styleId="10">
    <w:name w:val="caption"/>
    <w:basedOn w:val="1"/>
    <w:next w:val="1"/>
    <w:unhideWhenUsed/>
    <w:qFormat/>
    <w:locked/>
    <w:uiPriority w:val="0"/>
    <w:rPr>
      <w:rFonts w:ascii="Arial" w:hAnsi="Arial" w:eastAsia="黑体"/>
      <w:sz w:val="20"/>
    </w:rPr>
  </w:style>
  <w:style w:type="paragraph" w:styleId="11">
    <w:name w:val="Document Map"/>
    <w:basedOn w:val="1"/>
    <w:link w:val="47"/>
    <w:semiHidden/>
    <w:qFormat/>
    <w:uiPriority w:val="0"/>
    <w:rPr>
      <w:rFonts w:ascii="宋体" w:cs="宋体"/>
      <w:sz w:val="18"/>
      <w:szCs w:val="18"/>
    </w:rPr>
  </w:style>
  <w:style w:type="paragraph" w:styleId="12">
    <w:name w:val="annotation text"/>
    <w:basedOn w:val="1"/>
    <w:link w:val="48"/>
    <w:semiHidden/>
    <w:qFormat/>
    <w:uiPriority w:val="0"/>
    <w:pPr>
      <w:jc w:val="left"/>
    </w:pPr>
  </w:style>
  <w:style w:type="paragraph" w:styleId="13">
    <w:name w:val="Body Text 3"/>
    <w:basedOn w:val="1"/>
    <w:link w:val="49"/>
    <w:qFormat/>
    <w:uiPriority w:val="0"/>
    <w:pPr>
      <w:spacing w:after="120" w:line="240" w:lineRule="auto"/>
    </w:pPr>
    <w:rPr>
      <w:sz w:val="16"/>
      <w:szCs w:val="16"/>
    </w:rPr>
  </w:style>
  <w:style w:type="paragraph" w:styleId="14">
    <w:name w:val="Body Text"/>
    <w:basedOn w:val="1"/>
    <w:link w:val="50"/>
    <w:qFormat/>
    <w:uiPriority w:val="0"/>
    <w:pPr>
      <w:spacing w:line="240" w:lineRule="auto"/>
      <w:jc w:val="center"/>
    </w:pPr>
    <w:rPr>
      <w:rFonts w:ascii="宋体" w:hAnsi="宋体"/>
      <w:sz w:val="24"/>
      <w:szCs w:val="20"/>
    </w:rPr>
  </w:style>
  <w:style w:type="paragraph" w:styleId="15">
    <w:name w:val="toc 5"/>
    <w:basedOn w:val="1"/>
    <w:next w:val="1"/>
    <w:qFormat/>
    <w:locked/>
    <w:uiPriority w:val="0"/>
    <w:pPr>
      <w:ind w:left="1680" w:leftChars="800"/>
    </w:pPr>
  </w:style>
  <w:style w:type="paragraph" w:styleId="16">
    <w:name w:val="toc 3"/>
    <w:basedOn w:val="1"/>
    <w:next w:val="1"/>
    <w:qFormat/>
    <w:locked/>
    <w:uiPriority w:val="0"/>
    <w:pPr>
      <w:ind w:left="840" w:leftChars="400"/>
    </w:pPr>
  </w:style>
  <w:style w:type="paragraph" w:styleId="17">
    <w:name w:val="Plain Text"/>
    <w:basedOn w:val="1"/>
    <w:link w:val="51"/>
    <w:qFormat/>
    <w:uiPriority w:val="0"/>
    <w:rPr>
      <w:rFonts w:ascii="宋体" w:cs="宋体"/>
    </w:rPr>
  </w:style>
  <w:style w:type="paragraph" w:styleId="18">
    <w:name w:val="toc 8"/>
    <w:basedOn w:val="1"/>
    <w:next w:val="1"/>
    <w:qFormat/>
    <w:locked/>
    <w:uiPriority w:val="0"/>
    <w:pPr>
      <w:ind w:left="2940" w:leftChars="1400"/>
    </w:pPr>
  </w:style>
  <w:style w:type="paragraph" w:styleId="19">
    <w:name w:val="Date"/>
    <w:basedOn w:val="1"/>
    <w:next w:val="1"/>
    <w:link w:val="52"/>
    <w:qFormat/>
    <w:uiPriority w:val="0"/>
    <w:pPr>
      <w:ind w:left="2500" w:leftChars="2500"/>
    </w:pPr>
  </w:style>
  <w:style w:type="paragraph" w:styleId="20">
    <w:name w:val="Body Text Indent 2"/>
    <w:basedOn w:val="1"/>
    <w:link w:val="53"/>
    <w:qFormat/>
    <w:uiPriority w:val="0"/>
    <w:pPr>
      <w:spacing w:after="120" w:line="480" w:lineRule="auto"/>
      <w:ind w:left="420" w:leftChars="200"/>
    </w:pPr>
    <w:rPr>
      <w:szCs w:val="20"/>
    </w:rPr>
  </w:style>
  <w:style w:type="paragraph" w:styleId="21">
    <w:name w:val="Balloon Text"/>
    <w:basedOn w:val="1"/>
    <w:link w:val="54"/>
    <w:semiHidden/>
    <w:qFormat/>
    <w:uiPriority w:val="0"/>
    <w:pPr>
      <w:spacing w:line="240" w:lineRule="auto"/>
    </w:pPr>
    <w:rPr>
      <w:sz w:val="18"/>
      <w:szCs w:val="18"/>
    </w:rPr>
  </w:style>
  <w:style w:type="paragraph" w:styleId="22">
    <w:name w:val="footer"/>
    <w:basedOn w:val="1"/>
    <w:link w:val="55"/>
    <w:qFormat/>
    <w:uiPriority w:val="0"/>
    <w:pPr>
      <w:tabs>
        <w:tab w:val="center" w:pos="4153"/>
        <w:tab w:val="right" w:pos="8306"/>
      </w:tabs>
      <w:snapToGrid w:val="0"/>
      <w:jc w:val="left"/>
    </w:pPr>
    <w:rPr>
      <w:sz w:val="18"/>
      <w:szCs w:val="18"/>
    </w:rPr>
  </w:style>
  <w:style w:type="paragraph" w:styleId="23">
    <w:name w:val="header"/>
    <w:basedOn w:val="1"/>
    <w:link w:val="56"/>
    <w:qFormat/>
    <w:uiPriority w:val="0"/>
    <w:pPr>
      <w:pBdr>
        <w:bottom w:val="single" w:color="auto" w:sz="6" w:space="1"/>
      </w:pBdr>
      <w:tabs>
        <w:tab w:val="center" w:pos="4153"/>
        <w:tab w:val="right" w:pos="8306"/>
      </w:tabs>
      <w:snapToGrid w:val="0"/>
      <w:jc w:val="center"/>
    </w:pPr>
    <w:rPr>
      <w:sz w:val="18"/>
      <w:szCs w:val="18"/>
    </w:rPr>
  </w:style>
  <w:style w:type="paragraph" w:styleId="24">
    <w:name w:val="toc 1"/>
    <w:basedOn w:val="1"/>
    <w:next w:val="1"/>
    <w:semiHidden/>
    <w:qFormat/>
    <w:uiPriority w:val="0"/>
  </w:style>
  <w:style w:type="paragraph" w:styleId="25">
    <w:name w:val="toc 4"/>
    <w:basedOn w:val="1"/>
    <w:next w:val="1"/>
    <w:qFormat/>
    <w:locked/>
    <w:uiPriority w:val="0"/>
    <w:pPr>
      <w:ind w:left="1260" w:leftChars="600"/>
    </w:pPr>
  </w:style>
  <w:style w:type="paragraph" w:styleId="26">
    <w:name w:val="Subtitle"/>
    <w:basedOn w:val="1"/>
    <w:next w:val="1"/>
    <w:link w:val="57"/>
    <w:qFormat/>
    <w:uiPriority w:val="0"/>
    <w:pPr>
      <w:spacing w:before="240" w:after="240" w:line="240" w:lineRule="auto"/>
      <w:jc w:val="center"/>
      <w:outlineLvl w:val="1"/>
    </w:pPr>
    <w:rPr>
      <w:rFonts w:eastAsia="黑体"/>
      <w:kern w:val="28"/>
    </w:rPr>
  </w:style>
  <w:style w:type="paragraph" w:styleId="27">
    <w:name w:val="toc 6"/>
    <w:basedOn w:val="1"/>
    <w:next w:val="1"/>
    <w:qFormat/>
    <w:locked/>
    <w:uiPriority w:val="0"/>
    <w:pPr>
      <w:ind w:left="2100" w:leftChars="1000"/>
    </w:pPr>
  </w:style>
  <w:style w:type="paragraph" w:styleId="28">
    <w:name w:val="toc 2"/>
    <w:basedOn w:val="1"/>
    <w:next w:val="1"/>
    <w:semiHidden/>
    <w:qFormat/>
    <w:uiPriority w:val="0"/>
    <w:pPr>
      <w:ind w:left="420" w:leftChars="200"/>
    </w:pPr>
  </w:style>
  <w:style w:type="paragraph" w:styleId="29">
    <w:name w:val="toc 9"/>
    <w:basedOn w:val="1"/>
    <w:next w:val="1"/>
    <w:qFormat/>
    <w:locked/>
    <w:uiPriority w:val="0"/>
    <w:pPr>
      <w:ind w:left="3360" w:leftChars="1600"/>
    </w:pPr>
  </w:style>
  <w:style w:type="paragraph" w:styleId="30">
    <w:name w:val="Body Text 2"/>
    <w:basedOn w:val="1"/>
    <w:next w:val="1"/>
    <w:link w:val="58"/>
    <w:qFormat/>
    <w:uiPriority w:val="0"/>
    <w:pPr>
      <w:autoSpaceDE w:val="0"/>
      <w:autoSpaceDN w:val="0"/>
      <w:adjustRightInd w:val="0"/>
      <w:spacing w:line="240" w:lineRule="auto"/>
      <w:jc w:val="left"/>
    </w:pPr>
    <w:rPr>
      <w:rFonts w:ascii="宋体"/>
      <w:kern w:val="0"/>
      <w:sz w:val="20"/>
      <w:szCs w:val="24"/>
    </w:rPr>
  </w:style>
  <w:style w:type="paragraph" w:styleId="31">
    <w:name w:val="Normal (Web)"/>
    <w:basedOn w:val="1"/>
    <w:qFormat/>
    <w:uiPriority w:val="0"/>
    <w:pPr>
      <w:widowControl/>
      <w:spacing w:before="100" w:beforeAutospacing="1" w:after="100" w:afterAutospacing="1"/>
      <w:jc w:val="left"/>
    </w:pPr>
    <w:rPr>
      <w:rFonts w:ascii="宋体" w:cs="宋体"/>
      <w:kern w:val="0"/>
      <w:sz w:val="24"/>
      <w:szCs w:val="24"/>
    </w:rPr>
  </w:style>
  <w:style w:type="paragraph" w:styleId="32">
    <w:name w:val="Title"/>
    <w:basedOn w:val="1"/>
    <w:next w:val="1"/>
    <w:link w:val="59"/>
    <w:qFormat/>
    <w:uiPriority w:val="0"/>
    <w:pPr>
      <w:spacing w:before="340" w:after="330" w:line="240" w:lineRule="auto"/>
      <w:jc w:val="center"/>
      <w:outlineLvl w:val="0"/>
    </w:pPr>
    <w:rPr>
      <w:sz w:val="28"/>
      <w:szCs w:val="28"/>
    </w:rPr>
  </w:style>
  <w:style w:type="paragraph" w:styleId="33">
    <w:name w:val="annotation subject"/>
    <w:basedOn w:val="12"/>
    <w:next w:val="12"/>
    <w:link w:val="60"/>
    <w:semiHidden/>
    <w:qFormat/>
    <w:uiPriority w:val="0"/>
    <w:rPr>
      <w:b/>
      <w:bCs/>
    </w:rPr>
  </w:style>
  <w:style w:type="table" w:styleId="35">
    <w:name w:val="Table Grid"/>
    <w:basedOn w:val="34"/>
    <w:qFormat/>
    <w:uiPriority w:val="0"/>
    <w:rPr>
      <w:lang w:val="en-US" w:eastAsia="zh-CN" w:bidi="ar-SA"/>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7">
    <w:name w:val="Strong"/>
    <w:basedOn w:val="36"/>
    <w:qFormat/>
    <w:uiPriority w:val="0"/>
    <w:rPr>
      <w:rFonts w:cs="Times New Roman"/>
      <w:b/>
      <w:bCs/>
    </w:rPr>
  </w:style>
  <w:style w:type="character" w:styleId="38">
    <w:name w:val="page number"/>
    <w:basedOn w:val="36"/>
    <w:qFormat/>
    <w:uiPriority w:val="0"/>
    <w:rPr>
      <w:rFonts w:cs="Times New Roman"/>
    </w:rPr>
  </w:style>
  <w:style w:type="character" w:styleId="39">
    <w:name w:val="Hyperlink"/>
    <w:basedOn w:val="36"/>
    <w:qFormat/>
    <w:uiPriority w:val="0"/>
    <w:rPr>
      <w:rFonts w:cs="Times New Roman"/>
      <w:color w:val="0000FF"/>
      <w:u w:val="single"/>
    </w:rPr>
  </w:style>
  <w:style w:type="character" w:styleId="40">
    <w:name w:val="annotation reference"/>
    <w:basedOn w:val="36"/>
    <w:semiHidden/>
    <w:qFormat/>
    <w:uiPriority w:val="0"/>
    <w:rPr>
      <w:rFonts w:cs="Times New Roman"/>
      <w:sz w:val="21"/>
      <w:szCs w:val="21"/>
    </w:rPr>
  </w:style>
  <w:style w:type="paragraph" w:customStyle="1" w:styleId="4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42">
    <w:name w:val="标题 1 Char"/>
    <w:basedOn w:val="36"/>
    <w:link w:val="4"/>
    <w:qFormat/>
    <w:locked/>
    <w:uiPriority w:val="0"/>
    <w:rPr>
      <w:rFonts w:cs="Times New Roman"/>
      <w:b/>
      <w:bCs/>
      <w:kern w:val="44"/>
      <w:sz w:val="44"/>
      <w:szCs w:val="44"/>
    </w:rPr>
  </w:style>
  <w:style w:type="character" w:customStyle="1" w:styleId="43">
    <w:name w:val="标题 2 Char"/>
    <w:basedOn w:val="36"/>
    <w:link w:val="5"/>
    <w:semiHidden/>
    <w:qFormat/>
    <w:locked/>
    <w:uiPriority w:val="0"/>
    <w:rPr>
      <w:rFonts w:ascii="Cambria" w:hAnsi="Cambria" w:eastAsia="宋体" w:cs="Cambria"/>
      <w:b/>
      <w:bCs/>
      <w:sz w:val="32"/>
      <w:szCs w:val="32"/>
    </w:rPr>
  </w:style>
  <w:style w:type="character" w:customStyle="1" w:styleId="44">
    <w:name w:val="标题 3 Char"/>
    <w:basedOn w:val="36"/>
    <w:link w:val="6"/>
    <w:semiHidden/>
    <w:qFormat/>
    <w:locked/>
    <w:uiPriority w:val="0"/>
    <w:rPr>
      <w:rFonts w:cs="Times New Roman"/>
      <w:b/>
      <w:bCs/>
      <w:sz w:val="32"/>
      <w:szCs w:val="32"/>
    </w:rPr>
  </w:style>
  <w:style w:type="character" w:customStyle="1" w:styleId="45">
    <w:name w:val="标题 4 Char"/>
    <w:basedOn w:val="36"/>
    <w:link w:val="7"/>
    <w:semiHidden/>
    <w:qFormat/>
    <w:locked/>
    <w:uiPriority w:val="0"/>
    <w:rPr>
      <w:rFonts w:ascii="Cambria" w:hAnsi="Cambria" w:eastAsia="宋体" w:cs="Times New Roman"/>
      <w:b/>
      <w:bCs/>
      <w:sz w:val="28"/>
      <w:szCs w:val="28"/>
    </w:rPr>
  </w:style>
  <w:style w:type="character" w:customStyle="1" w:styleId="46">
    <w:name w:val="标题 5 Char"/>
    <w:basedOn w:val="36"/>
    <w:link w:val="8"/>
    <w:semiHidden/>
    <w:qFormat/>
    <w:locked/>
    <w:uiPriority w:val="0"/>
    <w:rPr>
      <w:rFonts w:cs="Times New Roman"/>
      <w:b/>
      <w:bCs/>
      <w:sz w:val="28"/>
      <w:szCs w:val="28"/>
    </w:rPr>
  </w:style>
  <w:style w:type="character" w:customStyle="1" w:styleId="47">
    <w:name w:val="文档结构图 Char"/>
    <w:basedOn w:val="36"/>
    <w:link w:val="11"/>
    <w:semiHidden/>
    <w:qFormat/>
    <w:locked/>
    <w:uiPriority w:val="0"/>
    <w:rPr>
      <w:rFonts w:ascii="宋体" w:cs="宋体"/>
      <w:kern w:val="2"/>
      <w:sz w:val="18"/>
      <w:szCs w:val="18"/>
    </w:rPr>
  </w:style>
  <w:style w:type="character" w:customStyle="1" w:styleId="48">
    <w:name w:val="批注文字 Char"/>
    <w:basedOn w:val="36"/>
    <w:link w:val="12"/>
    <w:semiHidden/>
    <w:qFormat/>
    <w:locked/>
    <w:uiPriority w:val="0"/>
    <w:rPr>
      <w:rFonts w:cs="Times New Roman"/>
      <w:sz w:val="21"/>
      <w:szCs w:val="21"/>
    </w:rPr>
  </w:style>
  <w:style w:type="character" w:customStyle="1" w:styleId="49">
    <w:name w:val="正文文本 3 Char"/>
    <w:basedOn w:val="36"/>
    <w:link w:val="13"/>
    <w:semiHidden/>
    <w:qFormat/>
    <w:locked/>
    <w:uiPriority w:val="0"/>
    <w:rPr>
      <w:rFonts w:cs="Times New Roman"/>
      <w:sz w:val="16"/>
      <w:szCs w:val="16"/>
    </w:rPr>
  </w:style>
  <w:style w:type="character" w:customStyle="1" w:styleId="50">
    <w:name w:val="正文文本 Char"/>
    <w:basedOn w:val="36"/>
    <w:link w:val="14"/>
    <w:semiHidden/>
    <w:qFormat/>
    <w:locked/>
    <w:uiPriority w:val="0"/>
    <w:rPr>
      <w:rFonts w:cs="Times New Roman"/>
      <w:sz w:val="21"/>
      <w:szCs w:val="21"/>
    </w:rPr>
  </w:style>
  <w:style w:type="character" w:customStyle="1" w:styleId="51">
    <w:name w:val="纯文本 Char"/>
    <w:basedOn w:val="36"/>
    <w:link w:val="17"/>
    <w:semiHidden/>
    <w:qFormat/>
    <w:locked/>
    <w:uiPriority w:val="0"/>
    <w:rPr>
      <w:rFonts w:ascii="宋体" w:hAnsi="Courier New" w:cs="宋体"/>
      <w:sz w:val="21"/>
      <w:szCs w:val="21"/>
    </w:rPr>
  </w:style>
  <w:style w:type="character" w:customStyle="1" w:styleId="52">
    <w:name w:val="日期 Char"/>
    <w:basedOn w:val="36"/>
    <w:link w:val="19"/>
    <w:semiHidden/>
    <w:qFormat/>
    <w:locked/>
    <w:uiPriority w:val="0"/>
    <w:rPr>
      <w:rFonts w:cs="Times New Roman"/>
      <w:sz w:val="21"/>
      <w:szCs w:val="21"/>
    </w:rPr>
  </w:style>
  <w:style w:type="character" w:customStyle="1" w:styleId="53">
    <w:name w:val="正文文本缩进 2 Char"/>
    <w:basedOn w:val="36"/>
    <w:link w:val="20"/>
    <w:semiHidden/>
    <w:qFormat/>
    <w:locked/>
    <w:uiPriority w:val="0"/>
    <w:rPr>
      <w:rFonts w:cs="Times New Roman"/>
      <w:sz w:val="21"/>
      <w:szCs w:val="21"/>
    </w:rPr>
  </w:style>
  <w:style w:type="character" w:customStyle="1" w:styleId="54">
    <w:name w:val="批注框文本 Char"/>
    <w:basedOn w:val="36"/>
    <w:link w:val="21"/>
    <w:semiHidden/>
    <w:qFormat/>
    <w:locked/>
    <w:uiPriority w:val="0"/>
    <w:rPr>
      <w:rFonts w:cs="Times New Roman"/>
      <w:sz w:val="2"/>
      <w:szCs w:val="2"/>
    </w:rPr>
  </w:style>
  <w:style w:type="character" w:customStyle="1" w:styleId="55">
    <w:name w:val="页脚 Char"/>
    <w:basedOn w:val="36"/>
    <w:link w:val="22"/>
    <w:qFormat/>
    <w:locked/>
    <w:uiPriority w:val="0"/>
    <w:rPr>
      <w:rFonts w:cs="Times New Roman"/>
      <w:kern w:val="2"/>
      <w:sz w:val="18"/>
      <w:szCs w:val="18"/>
    </w:rPr>
  </w:style>
  <w:style w:type="character" w:customStyle="1" w:styleId="56">
    <w:name w:val="页眉 Char"/>
    <w:basedOn w:val="36"/>
    <w:link w:val="23"/>
    <w:semiHidden/>
    <w:qFormat/>
    <w:locked/>
    <w:uiPriority w:val="0"/>
    <w:rPr>
      <w:rFonts w:cs="Times New Roman"/>
      <w:sz w:val="18"/>
      <w:szCs w:val="18"/>
    </w:rPr>
  </w:style>
  <w:style w:type="character" w:customStyle="1" w:styleId="57">
    <w:name w:val="副标题 Char"/>
    <w:basedOn w:val="36"/>
    <w:link w:val="26"/>
    <w:qFormat/>
    <w:locked/>
    <w:uiPriority w:val="0"/>
    <w:rPr>
      <w:rFonts w:eastAsia="黑体" w:cs="Times New Roman"/>
      <w:kern w:val="28"/>
      <w:sz w:val="32"/>
      <w:szCs w:val="32"/>
    </w:rPr>
  </w:style>
  <w:style w:type="character" w:customStyle="1" w:styleId="58">
    <w:name w:val="正文文本 2 Char"/>
    <w:basedOn w:val="36"/>
    <w:link w:val="30"/>
    <w:semiHidden/>
    <w:qFormat/>
    <w:locked/>
    <w:uiPriority w:val="0"/>
    <w:rPr>
      <w:rFonts w:cs="Times New Roman"/>
      <w:sz w:val="21"/>
      <w:szCs w:val="21"/>
    </w:rPr>
  </w:style>
  <w:style w:type="character" w:customStyle="1" w:styleId="59">
    <w:name w:val="标题 Char"/>
    <w:basedOn w:val="36"/>
    <w:link w:val="32"/>
    <w:qFormat/>
    <w:locked/>
    <w:uiPriority w:val="0"/>
    <w:rPr>
      <w:rFonts w:eastAsia="宋体" w:cs="Times New Roman"/>
      <w:kern w:val="2"/>
      <w:sz w:val="32"/>
      <w:szCs w:val="32"/>
    </w:rPr>
  </w:style>
  <w:style w:type="character" w:customStyle="1" w:styleId="60">
    <w:name w:val="批注主题 Char"/>
    <w:basedOn w:val="48"/>
    <w:link w:val="33"/>
    <w:semiHidden/>
    <w:qFormat/>
    <w:locked/>
    <w:uiPriority w:val="0"/>
    <w:rPr>
      <w:b/>
      <w:bCs/>
    </w:rPr>
  </w:style>
  <w:style w:type="character" w:customStyle="1" w:styleId="61">
    <w:name w:val="条文说明 Char"/>
    <w:basedOn w:val="36"/>
    <w:link w:val="62"/>
    <w:qFormat/>
    <w:locked/>
    <w:uiPriority w:val="0"/>
    <w:rPr>
      <w:rFonts w:ascii="宋体" w:hAnsi="宋体" w:eastAsia="宋体" w:cs="Times New Roman"/>
      <w:color w:val="0000FF"/>
      <w:kern w:val="2"/>
      <w:sz w:val="21"/>
      <w:szCs w:val="21"/>
      <w:lang w:val="en-US" w:eastAsia="zh-CN" w:bidi="ar-SA"/>
    </w:rPr>
  </w:style>
  <w:style w:type="paragraph" w:customStyle="1" w:styleId="62">
    <w:name w:val="条文说明"/>
    <w:basedOn w:val="1"/>
    <w:link w:val="61"/>
    <w:qFormat/>
    <w:uiPriority w:val="0"/>
    <w:pPr>
      <w:adjustRightInd w:val="0"/>
      <w:snapToGrid w:val="0"/>
      <w:spacing w:line="240" w:lineRule="auto"/>
      <w:ind w:firstLine="200" w:firstLineChars="200"/>
    </w:pPr>
    <w:rPr>
      <w:rFonts w:ascii="宋体" w:hAnsi="宋体"/>
      <w:color w:val="0000FF"/>
    </w:rPr>
  </w:style>
  <w:style w:type="character" w:customStyle="1" w:styleId="63">
    <w:name w:val="Char Char"/>
    <w:basedOn w:val="36"/>
    <w:qFormat/>
    <w:uiPriority w:val="0"/>
    <w:rPr>
      <w:rFonts w:eastAsia="宋体" w:cs="Times New Roman"/>
      <w:kern w:val="2"/>
      <w:sz w:val="18"/>
      <w:szCs w:val="18"/>
      <w:lang w:val="en-US" w:eastAsia="zh-CN" w:bidi="ar-SA"/>
    </w:rPr>
  </w:style>
  <w:style w:type="character" w:customStyle="1" w:styleId="64">
    <w:name w:val=" Char Char1"/>
    <w:basedOn w:val="36"/>
    <w:qFormat/>
    <w:locked/>
    <w:uiPriority w:val="0"/>
    <w:rPr>
      <w:rFonts w:eastAsia="宋体"/>
      <w:b/>
      <w:bCs/>
      <w:kern w:val="44"/>
      <w:sz w:val="44"/>
      <w:szCs w:val="44"/>
      <w:lang w:val="en-US" w:eastAsia="zh-CN" w:bidi="ar-SA"/>
    </w:rPr>
  </w:style>
  <w:style w:type="character" w:customStyle="1" w:styleId="65">
    <w:name w:val="段 Char"/>
    <w:basedOn w:val="36"/>
    <w:link w:val="66"/>
    <w:qFormat/>
    <w:uiPriority w:val="0"/>
    <w:rPr>
      <w:rFonts w:ascii="宋体"/>
      <w:sz w:val="21"/>
      <w:lang w:val="en-US" w:eastAsia="zh-CN" w:bidi="ar-SA"/>
    </w:rPr>
  </w:style>
  <w:style w:type="paragraph" w:customStyle="1" w:styleId="66">
    <w:name w:val="段"/>
    <w:link w:val="6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character" w:customStyle="1" w:styleId="67">
    <w:name w:val=" Char Char"/>
    <w:basedOn w:val="36"/>
    <w:qFormat/>
    <w:uiPriority w:val="0"/>
    <w:rPr>
      <w:rFonts w:eastAsia="宋体"/>
      <w:kern w:val="2"/>
      <w:sz w:val="18"/>
      <w:szCs w:val="18"/>
      <w:lang w:val="en-US" w:eastAsia="zh-CN" w:bidi="ar-SA"/>
    </w:rPr>
  </w:style>
  <w:style w:type="character" w:customStyle="1" w:styleId="68">
    <w:name w:val="biaoti1"/>
    <w:basedOn w:val="36"/>
    <w:qFormat/>
    <w:uiPriority w:val="0"/>
    <w:rPr>
      <w:rFonts w:hint="eastAsia" w:ascii="宋体" w:hAnsi="宋体" w:eastAsia="宋体"/>
      <w:sz w:val="32"/>
      <w:szCs w:val="32"/>
      <w:u w:val="none"/>
    </w:rPr>
  </w:style>
  <w:style w:type="character" w:customStyle="1" w:styleId="69">
    <w:name w:val="Placeholder Text"/>
    <w:basedOn w:val="36"/>
    <w:semiHidden/>
    <w:qFormat/>
    <w:uiPriority w:val="0"/>
    <w:rPr>
      <w:rFonts w:cs="Times New Roman"/>
      <w:color w:val="808080"/>
    </w:rPr>
  </w:style>
  <w:style w:type="paragraph" w:customStyle="1" w:styleId="70">
    <w:name w:val=" Char Char1 Char Char Char Char Char Char Char Char Char Char Char Char"/>
    <w:basedOn w:val="1"/>
    <w:qFormat/>
    <w:uiPriority w:val="0"/>
    <w:pPr>
      <w:ind w:firstLine="200" w:firstLineChars="200"/>
    </w:pPr>
    <w:rPr>
      <w:rFonts w:ascii="宋体" w:hAnsi="宋体" w:cs="宋体"/>
      <w:sz w:val="24"/>
      <w:szCs w:val="24"/>
    </w:rPr>
  </w:style>
  <w:style w:type="paragraph" w:customStyle="1" w:styleId="71">
    <w:name w:val="章"/>
    <w:basedOn w:val="1"/>
    <w:qFormat/>
    <w:uiPriority w:val="0"/>
    <w:pPr>
      <w:spacing w:beforeLines="100" w:afterLines="100" w:line="300" w:lineRule="auto"/>
      <w:jc w:val="center"/>
      <w:outlineLvl w:val="0"/>
    </w:pPr>
    <w:rPr>
      <w:b/>
      <w:bCs/>
      <w:sz w:val="28"/>
      <w:szCs w:val="28"/>
    </w:rPr>
  </w:style>
  <w:style w:type="paragraph" w:customStyle="1" w:styleId="72">
    <w:name w:val="Revision"/>
    <w:semiHidden/>
    <w:qFormat/>
    <w:uiPriority w:val="0"/>
    <w:rPr>
      <w:rFonts w:ascii="Times New Roman" w:hAnsi="Times New Roman" w:eastAsia="宋体" w:cs="Times New Roman"/>
      <w:kern w:val="2"/>
      <w:sz w:val="21"/>
      <w:szCs w:val="21"/>
      <w:lang w:val="en-US" w:eastAsia="zh-CN" w:bidi="ar-SA"/>
    </w:rPr>
  </w:style>
  <w:style w:type="paragraph" w:customStyle="1" w:styleId="73">
    <w:name w:val="No Spacing"/>
    <w:qFormat/>
    <w:uiPriority w:val="0"/>
    <w:pPr>
      <w:widowControl w:val="0"/>
      <w:jc w:val="both"/>
    </w:pPr>
    <w:rPr>
      <w:rFonts w:ascii="Times New Roman" w:hAnsi="Times New Roman" w:eastAsia="宋体" w:cs="Times New Roman"/>
      <w:kern w:val="2"/>
      <w:sz w:val="21"/>
      <w:szCs w:val="21"/>
      <w:lang w:val="en-US" w:eastAsia="zh-CN" w:bidi="ar-SA"/>
    </w:rPr>
  </w:style>
  <w:style w:type="paragraph" w:customStyle="1" w:styleId="74">
    <w:name w:val="默认段落字体 Para Char"/>
    <w:basedOn w:val="1"/>
    <w:qFormat/>
    <w:uiPriority w:val="0"/>
    <w:pPr>
      <w:spacing w:line="240" w:lineRule="auto"/>
    </w:pPr>
    <w:rPr>
      <w:sz w:val="24"/>
      <w:szCs w:val="24"/>
    </w:rPr>
  </w:style>
  <w:style w:type="paragraph" w:customStyle="1" w:styleId="75">
    <w:name w:val="Char Char1 Char Char Char Char Char Char Char Char Char Char Char Char"/>
    <w:basedOn w:val="1"/>
    <w:qFormat/>
    <w:uiPriority w:val="0"/>
    <w:pPr>
      <w:ind w:firstLine="200" w:firstLineChars="200"/>
    </w:pPr>
    <w:rPr>
      <w:rFonts w:ascii="宋体" w:hAnsi="宋体" w:cs="宋体"/>
      <w:sz w:val="24"/>
      <w:szCs w:val="24"/>
    </w:rPr>
  </w:style>
  <w:style w:type="paragraph" w:customStyle="1" w:styleId="76">
    <w:name w:val="普通文字"/>
    <w:basedOn w:val="1"/>
    <w:next w:val="1"/>
    <w:qFormat/>
    <w:uiPriority w:val="0"/>
    <w:pPr>
      <w:autoSpaceDE w:val="0"/>
      <w:autoSpaceDN w:val="0"/>
      <w:adjustRightInd w:val="0"/>
      <w:spacing w:line="240" w:lineRule="auto"/>
      <w:jc w:val="left"/>
    </w:pPr>
    <w:rPr>
      <w:rFonts w:ascii="宋体"/>
      <w:kern w:val="0"/>
      <w:sz w:val="24"/>
      <w:szCs w:val="24"/>
    </w:rPr>
  </w:style>
  <w:style w:type="paragraph" w:customStyle="1" w:styleId="77">
    <w:name w:val="样式1"/>
    <w:basedOn w:val="4"/>
    <w:qFormat/>
    <w:uiPriority w:val="0"/>
    <w:pPr>
      <w:spacing w:before="120" w:after="120"/>
    </w:pPr>
    <w:rPr>
      <w:rFonts w:ascii="宋体" w:hAnsi="宋体"/>
      <w:b/>
      <w:bCs/>
      <w:sz w:val="24"/>
      <w:szCs w:val="44"/>
    </w:rPr>
  </w:style>
  <w:style w:type="paragraph" w:customStyle="1" w:styleId="78">
    <w:name w:val="List Paragraph"/>
    <w:basedOn w:val="1"/>
    <w:qFormat/>
    <w:uiPriority w:val="0"/>
    <w:pPr>
      <w:ind w:firstLine="420" w:firstLineChars="200"/>
    </w:pPr>
  </w:style>
  <w:style w:type="paragraph" w:customStyle="1" w:styleId="79">
    <w:name w:val="正文-条文说明"/>
    <w:basedOn w:val="1"/>
    <w:qFormat/>
    <w:uiPriority w:val="0"/>
    <w:pPr>
      <w:tabs>
        <w:tab w:val="left" w:pos="6237"/>
      </w:tabs>
      <w:ind w:firstLine="200" w:firstLineChars="200"/>
    </w:pPr>
    <w:rPr>
      <w:rFonts w:ascii="楷体_GB2312" w:hAnsi="楷体_GB2312" w:eastAsia="楷体_GB2312"/>
      <w:color w:val="0000FF"/>
      <w:sz w:val="18"/>
      <w:szCs w:val="22"/>
    </w:rPr>
  </w:style>
  <w:style w:type="paragraph" w:customStyle="1" w:styleId="80">
    <w:name w:val="cucd-0"/>
    <w:qFormat/>
    <w:uiPriority w:val="0"/>
    <w:pPr>
      <w:spacing w:line="360" w:lineRule="auto"/>
      <w:ind w:firstLine="480" w:firstLineChars="200"/>
    </w:pPr>
    <w:rPr>
      <w:rFonts w:ascii="Arial" w:hAnsi="Arial" w:eastAsia="宋体" w:cs="Times New Roman"/>
      <w:kern w:val="2"/>
      <w:sz w:val="24"/>
      <w:szCs w:val="24"/>
      <w:lang w:val="en-US" w:eastAsia="zh-CN" w:bidi="ar-SA"/>
    </w:rPr>
  </w:style>
  <w:style w:type="paragraph" w:customStyle="1" w:styleId="81">
    <w:name w:val="注"/>
    <w:basedOn w:val="1"/>
    <w:qFormat/>
    <w:uiPriority w:val="0"/>
    <w:pPr>
      <w:spacing w:line="240" w:lineRule="auto"/>
    </w:pPr>
    <w:rPr>
      <w:sz w:val="18"/>
    </w:rPr>
  </w:style>
  <w:style w:type="paragraph" w:customStyle="1" w:styleId="82">
    <w:name w:val="Char"/>
    <w:basedOn w:val="1"/>
    <w:qFormat/>
    <w:uiPriority w:val="0"/>
    <w:pPr>
      <w:adjustRightInd w:val="0"/>
      <w:snapToGrid w:val="0"/>
      <w:spacing w:line="240" w:lineRule="auto"/>
    </w:pPr>
    <w:rPr>
      <w:rFonts w:ascii="仿宋_GB2312" w:eastAsia="仿宋_GB2312"/>
      <w:b/>
      <w:sz w:val="32"/>
      <w:szCs w:val="32"/>
    </w:rPr>
  </w:style>
  <w:style w:type="paragraph" w:customStyle="1" w:styleId="83">
    <w:name w:val="条款说明"/>
    <w:basedOn w:val="1"/>
    <w:qFormat/>
    <w:uiPriority w:val="0"/>
    <w:pPr>
      <w:ind w:firstLine="600" w:firstLineChars="200"/>
    </w:pPr>
    <w:rPr>
      <w:rFonts w:eastAsia="楷体"/>
    </w:rPr>
  </w:style>
  <w:style w:type="paragraph" w:customStyle="1" w:styleId="84">
    <w:name w:val="0-2款"/>
    <w:basedOn w:val="1"/>
    <w:qFormat/>
    <w:uiPriority w:val="0"/>
    <w:pPr>
      <w:ind w:firstLine="482" w:firstLineChars="200"/>
    </w:pPr>
    <w:rPr>
      <w:rFonts w:cs="宋体"/>
      <w:szCs w:val="24"/>
    </w:rPr>
  </w:style>
  <w:style w:type="character" w:customStyle="1" w:styleId="85">
    <w:name w:val="font31"/>
    <w:basedOn w:val="36"/>
    <w:qFormat/>
    <w:uiPriority w:val="0"/>
    <w:rPr>
      <w:rFonts w:hint="eastAsia" w:ascii="宋体" w:hAnsi="宋体" w:eastAsia="宋体" w:cs="宋体"/>
      <w:color w:val="000000"/>
      <w:sz w:val="16"/>
      <w:szCs w:val="16"/>
      <w:u w:val="single"/>
    </w:rPr>
  </w:style>
  <w:style w:type="paragraph" w:customStyle="1" w:styleId="86">
    <w:name w:val="条文说明表格"/>
    <w:basedOn w:val="1"/>
    <w:qFormat/>
    <w:uiPriority w:val="0"/>
    <w:pPr>
      <w:spacing w:line="240" w:lineRule="auto"/>
      <w:jc w:val="center"/>
    </w:pPr>
    <w:rPr>
      <w:rFonts w:eastAsia="楷体"/>
      <w:sz w:val="18"/>
    </w:rPr>
  </w:style>
  <w:style w:type="paragraph" w:customStyle="1" w:styleId="87">
    <w:name w:val="3 条文说明"/>
    <w:basedOn w:val="1"/>
    <w:qFormat/>
    <w:uiPriority w:val="99"/>
    <w:pPr>
      <w:ind w:firstLine="200" w:firstLineChars="200"/>
    </w:pPr>
    <w:rPr>
      <w:rFonts w:cs="Calibri"/>
    </w:rPr>
  </w:style>
  <w:style w:type="paragraph" w:customStyle="1" w:styleId="88">
    <w:name w:val="Body text|1"/>
    <w:basedOn w:val="1"/>
    <w:qFormat/>
    <w:uiPriority w:val="0"/>
    <w:pPr>
      <w:widowControl w:val="0"/>
      <w:shd w:val="clear" w:color="auto" w:fill="auto"/>
      <w:spacing w:line="336" w:lineRule="auto"/>
      <w:ind w:firstLine="400"/>
    </w:pPr>
    <w:rPr>
      <w:rFonts w:ascii="宋体" w:hAnsi="宋体" w:eastAsia="宋体" w:cs="宋体"/>
      <w:sz w:val="28"/>
      <w:szCs w:val="28"/>
      <w:u w:val="none"/>
      <w:shd w:val="clear" w:color="auto" w:fill="auto"/>
      <w:lang w:val="zh-TW" w:eastAsia="zh-TW" w:bidi="zh-TW"/>
    </w:rPr>
  </w:style>
  <w:style w:type="character" w:customStyle="1" w:styleId="89">
    <w:name w:val="图片标题 Exact"/>
    <w:basedOn w:val="36"/>
    <w:qFormat/>
    <w:uiPriority w:val="0"/>
    <w:rPr>
      <w:rFonts w:ascii="MingLiU" w:eastAsia="MingLiU" w:cs="MingLiU"/>
      <w:spacing w:val="10"/>
      <w:sz w:val="19"/>
      <w:szCs w:val="19"/>
      <w:u w:val="none"/>
      <w:lang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2.xml"/><Relationship Id="rId7" Type="http://schemas.openxmlformats.org/officeDocument/2006/relationships/header" Target="header2.xml"/><Relationship Id="rId62" Type="http://schemas.openxmlformats.org/officeDocument/2006/relationships/fontTable" Target="fontTable.xml"/><Relationship Id="rId61" Type="http://schemas.openxmlformats.org/officeDocument/2006/relationships/customXml" Target="../customXml/item1.xml"/><Relationship Id="rId60" Type="http://schemas.openxmlformats.org/officeDocument/2006/relationships/oleObject" Target="embeddings/oleObject42.bin"/><Relationship Id="rId6" Type="http://schemas.openxmlformats.org/officeDocument/2006/relationships/footer" Target="footer1.xml"/><Relationship Id="rId59" Type="http://schemas.openxmlformats.org/officeDocument/2006/relationships/oleObject" Target="embeddings/oleObject41.bin"/><Relationship Id="rId58" Type="http://schemas.openxmlformats.org/officeDocument/2006/relationships/oleObject" Target="embeddings/oleObject40.bin"/><Relationship Id="rId57" Type="http://schemas.openxmlformats.org/officeDocument/2006/relationships/oleObject" Target="embeddings/oleObject39.bin"/><Relationship Id="rId56" Type="http://schemas.openxmlformats.org/officeDocument/2006/relationships/oleObject" Target="embeddings/oleObject38.bin"/><Relationship Id="rId55" Type="http://schemas.openxmlformats.org/officeDocument/2006/relationships/oleObject" Target="embeddings/oleObject37.bin"/><Relationship Id="rId54" Type="http://schemas.openxmlformats.org/officeDocument/2006/relationships/oleObject" Target="embeddings/oleObject36.bin"/><Relationship Id="rId53" Type="http://schemas.openxmlformats.org/officeDocument/2006/relationships/oleObject" Target="embeddings/oleObject35.bin"/><Relationship Id="rId52" Type="http://schemas.openxmlformats.org/officeDocument/2006/relationships/oleObject" Target="embeddings/oleObject34.bin"/><Relationship Id="rId51" Type="http://schemas.openxmlformats.org/officeDocument/2006/relationships/oleObject" Target="embeddings/oleObject33.bin"/><Relationship Id="rId50" Type="http://schemas.openxmlformats.org/officeDocument/2006/relationships/oleObject" Target="embeddings/oleObject32.bin"/><Relationship Id="rId5" Type="http://schemas.openxmlformats.org/officeDocument/2006/relationships/header" Target="header1.xml"/><Relationship Id="rId49" Type="http://schemas.openxmlformats.org/officeDocument/2006/relationships/oleObject" Target="embeddings/oleObject31.bin"/><Relationship Id="rId48" Type="http://schemas.openxmlformats.org/officeDocument/2006/relationships/oleObject" Target="embeddings/oleObject30.bin"/><Relationship Id="rId47" Type="http://schemas.openxmlformats.org/officeDocument/2006/relationships/oleObject" Target="embeddings/oleObject29.bin"/><Relationship Id="rId46" Type="http://schemas.openxmlformats.org/officeDocument/2006/relationships/oleObject" Target="embeddings/oleObject28.bin"/><Relationship Id="rId45" Type="http://schemas.openxmlformats.org/officeDocument/2006/relationships/oleObject" Target="embeddings/oleObject27.bin"/><Relationship Id="rId44" Type="http://schemas.openxmlformats.org/officeDocument/2006/relationships/oleObject" Target="embeddings/oleObject26.bin"/><Relationship Id="rId43" Type="http://schemas.openxmlformats.org/officeDocument/2006/relationships/oleObject" Target="embeddings/oleObject25.bin"/><Relationship Id="rId42" Type="http://schemas.openxmlformats.org/officeDocument/2006/relationships/oleObject" Target="embeddings/oleObject24.bin"/><Relationship Id="rId41" Type="http://schemas.openxmlformats.org/officeDocument/2006/relationships/oleObject" Target="embeddings/oleObject23.bin"/><Relationship Id="rId40" Type="http://schemas.openxmlformats.org/officeDocument/2006/relationships/oleObject" Target="embeddings/oleObject22.bin"/><Relationship Id="rId4" Type="http://schemas.openxmlformats.org/officeDocument/2006/relationships/endnotes" Target="endnotes.xml"/><Relationship Id="rId39" Type="http://schemas.openxmlformats.org/officeDocument/2006/relationships/oleObject" Target="embeddings/oleObject21.bin"/><Relationship Id="rId38" Type="http://schemas.openxmlformats.org/officeDocument/2006/relationships/oleObject" Target="embeddings/oleObject20.bin"/><Relationship Id="rId37" Type="http://schemas.openxmlformats.org/officeDocument/2006/relationships/oleObject" Target="embeddings/oleObject19.bin"/><Relationship Id="rId36" Type="http://schemas.openxmlformats.org/officeDocument/2006/relationships/oleObject" Target="embeddings/oleObject18.bin"/><Relationship Id="rId35" Type="http://schemas.openxmlformats.org/officeDocument/2006/relationships/oleObject" Target="embeddings/oleObject17.bin"/><Relationship Id="rId34" Type="http://schemas.openxmlformats.org/officeDocument/2006/relationships/oleObject" Target="embeddings/oleObject16.bin"/><Relationship Id="rId33" Type="http://schemas.openxmlformats.org/officeDocument/2006/relationships/oleObject" Target="embeddings/oleObject15.bin"/><Relationship Id="rId32" Type="http://schemas.openxmlformats.org/officeDocument/2006/relationships/oleObject" Target="embeddings/oleObject14.bin"/><Relationship Id="rId31" Type="http://schemas.openxmlformats.org/officeDocument/2006/relationships/oleObject" Target="embeddings/oleObject13.bin"/><Relationship Id="rId30" Type="http://schemas.openxmlformats.org/officeDocument/2006/relationships/oleObject" Target="embeddings/oleObject12.bin"/><Relationship Id="rId3" Type="http://schemas.openxmlformats.org/officeDocument/2006/relationships/footnotes" Target="footnotes.xml"/><Relationship Id="rId29" Type="http://schemas.openxmlformats.org/officeDocument/2006/relationships/image" Target="media/image8.wmf"/><Relationship Id="rId28" Type="http://schemas.openxmlformats.org/officeDocument/2006/relationships/oleObject" Target="embeddings/oleObject11.bin"/><Relationship Id="rId27" Type="http://schemas.openxmlformats.org/officeDocument/2006/relationships/oleObject" Target="embeddings/oleObject10.bin"/><Relationship Id="rId26" Type="http://schemas.openxmlformats.org/officeDocument/2006/relationships/oleObject" Target="embeddings/oleObject9.bin"/><Relationship Id="rId25" Type="http://schemas.openxmlformats.org/officeDocument/2006/relationships/oleObject" Target="embeddings/oleObject8.bin"/><Relationship Id="rId24" Type="http://schemas.openxmlformats.org/officeDocument/2006/relationships/image" Target="media/image7.wmf"/><Relationship Id="rId23" Type="http://schemas.openxmlformats.org/officeDocument/2006/relationships/oleObject" Target="embeddings/oleObject7.bin"/><Relationship Id="rId22" Type="http://schemas.openxmlformats.org/officeDocument/2006/relationships/image" Target="media/image6.wmf"/><Relationship Id="rId21" Type="http://schemas.openxmlformats.org/officeDocument/2006/relationships/oleObject" Target="embeddings/oleObject6.bin"/><Relationship Id="rId20" Type="http://schemas.openxmlformats.org/officeDocument/2006/relationships/image" Target="media/image5.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4.wmf"/><Relationship Id="rId17" Type="http://schemas.openxmlformats.org/officeDocument/2006/relationships/oleObject" Target="embeddings/oleObject4.bin"/><Relationship Id="rId16" Type="http://schemas.openxmlformats.org/officeDocument/2006/relationships/image" Target="media/image3.wmf"/><Relationship Id="rId15" Type="http://schemas.openxmlformats.org/officeDocument/2006/relationships/oleObject" Target="embeddings/oleObject3.bin"/><Relationship Id="rId14" Type="http://schemas.openxmlformats.org/officeDocument/2006/relationships/image" Target="media/image2.wmf"/><Relationship Id="rId13" Type="http://schemas.openxmlformats.org/officeDocument/2006/relationships/oleObject" Target="embeddings/oleObject2.bin"/><Relationship Id="rId12" Type="http://schemas.openxmlformats.org/officeDocument/2006/relationships/image" Target="media/image1.wmf"/><Relationship Id="rId11" Type="http://schemas.openxmlformats.org/officeDocument/2006/relationships/oleObject" Target="embeddings/oleObject1.bin"/><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www.ftpdown.com</Company>
  <Pages>312</Pages>
  <Words>182425</Words>
  <Characters>204146</Characters>
  <Lines>1</Lines>
  <Paragraphs>1</Paragraphs>
  <TotalTime>2</TotalTime>
  <ScaleCrop>false</ScaleCrop>
  <LinksUpToDate>false</LinksUpToDate>
  <CharactersWithSpaces>211469</CharactersWithSpaces>
  <Application>WPS Office_11.8.2.10195_F1E327BC-269C-435d-A152-05C5408002CA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2016-06-14T08:07:00Z</dcterms:created>
  <dc:creator>胡达明</dc:creator>
  <cp:lastModifiedBy>Leo</cp:lastModifiedBy>
  <cp:lastPrinted>2022-05-08T02:19:00Z</cp:lastPrinted>
  <dcterms:modified xsi:type="dcterms:W3CDTF">2022-07-05T09:44:13Z</dcterms:modified>
  <dc:title>DB3502/Z </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2052-11.8.2.10195</vt:lpwstr>
  </property>
  <property fmtid="{D5CDD505-2E9C-101B-9397-08002B2CF9AE}" pid="3" name="ICV">
    <vt:lpwstr>58F98A2ACE154CBEACF22DE3F404BE37</vt:lpwstr>
  </property>
</Properties>
</file>